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9EB2" w14:textId="5DA32E42" w:rsidR="00AB7353" w:rsidRDefault="00847F81">
      <w:pPr>
        <w:rPr>
          <w:color w:val="000000"/>
        </w:rPr>
      </w:pPr>
      <w:r>
        <w:t xml:space="preserve">  </w:t>
      </w:r>
    </w:p>
    <w:p w14:paraId="0A93162B" w14:textId="77777777" w:rsidR="009F77FC" w:rsidRDefault="006765AE" w:rsidP="009F77FC">
      <w:pPr>
        <w:ind w:left="720"/>
      </w:pPr>
      <w:r>
        <w:t>1)</w:t>
      </w:r>
      <w:r>
        <w:tab/>
      </w:r>
      <w:r w:rsidR="009E6037">
        <w:rPr>
          <w:u w:val="single"/>
        </w:rPr>
        <w:t>Representations and Certifications</w:t>
      </w:r>
      <w:r w:rsidR="009F77FC">
        <w:t xml:space="preserve"> </w:t>
      </w:r>
      <w:r w:rsidR="00AB7353">
        <w:t>(Enclosed)</w:t>
      </w:r>
    </w:p>
    <w:p w14:paraId="47C61AB4" w14:textId="465603A4" w:rsidR="009F77FC" w:rsidRPr="009F77FC" w:rsidRDefault="009F77FC" w:rsidP="009F77FC">
      <w:pPr>
        <w:ind w:left="1440"/>
      </w:pPr>
      <w:r w:rsidRPr="009F77FC">
        <w:t xml:space="preserve">The North American Industry Classification System (NAICS) Codes for this type of work </w:t>
      </w:r>
      <w:r w:rsidR="008724FC">
        <w:t xml:space="preserve">is </w:t>
      </w:r>
      <w:r w:rsidRPr="009F77FC">
        <w:t xml:space="preserve">238220, Plumbing, Heating and Air-Conditioning Contractors.  The corresponding small business size standard for this acquisition is an annual receipts size standard of </w:t>
      </w:r>
      <w:r w:rsidRPr="006D74C5">
        <w:rPr>
          <w:b/>
          <w:color w:val="000000" w:themeColor="text1"/>
        </w:rPr>
        <w:t>$</w:t>
      </w:r>
      <w:r w:rsidR="006D74C5" w:rsidRPr="006D74C5">
        <w:rPr>
          <w:b/>
          <w:color w:val="000000" w:themeColor="text1"/>
        </w:rPr>
        <w:t>1</w:t>
      </w:r>
      <w:r w:rsidR="006D1767">
        <w:rPr>
          <w:b/>
          <w:color w:val="000000" w:themeColor="text1"/>
        </w:rPr>
        <w:t>6</w:t>
      </w:r>
      <w:r w:rsidRPr="009F77FC">
        <w:rPr>
          <w:b/>
        </w:rPr>
        <w:t>,</w:t>
      </w:r>
      <w:r w:rsidR="006D1767">
        <w:rPr>
          <w:b/>
        </w:rPr>
        <w:t>5</w:t>
      </w:r>
      <w:r w:rsidRPr="009F77FC">
        <w:rPr>
          <w:b/>
        </w:rPr>
        <w:t>00,000 or less for each NAICS Code listed</w:t>
      </w:r>
      <w:r w:rsidRPr="009F77FC">
        <w:t>.  Annual receipts are to be based on the average annual gross revenue for the past three fiscal years.</w:t>
      </w:r>
    </w:p>
    <w:p w14:paraId="15FB563E" w14:textId="77777777" w:rsidR="009F77FC" w:rsidRPr="001F10CF" w:rsidRDefault="009F77FC" w:rsidP="009F77FC">
      <w:pPr>
        <w:ind w:left="1440"/>
      </w:pPr>
    </w:p>
    <w:p w14:paraId="66283CBF" w14:textId="77777777" w:rsidR="009F77FC" w:rsidRDefault="009F77FC" w:rsidP="009F77FC">
      <w:pPr>
        <w:ind w:left="1440"/>
      </w:pPr>
      <w:r w:rsidRPr="001F10CF">
        <w:t xml:space="preserve">The Offeror shall base its Small Business Program Representations on this small business size standard when completing the Representations &amp; Certifications.  Refer to Subpart 19.1 - </w:t>
      </w:r>
      <w:r w:rsidRPr="001F10CF">
        <w:rPr>
          <w:i/>
        </w:rPr>
        <w:t>Size Standards</w:t>
      </w:r>
      <w:r w:rsidRPr="001F10CF">
        <w:t xml:space="preserve"> of the Federal Acquisition Regulation (FAR) for information on calculating your annual average gross revenue.</w:t>
      </w:r>
    </w:p>
    <w:p w14:paraId="30AF5C61" w14:textId="77777777" w:rsidR="009F77FC" w:rsidRDefault="009F77FC" w:rsidP="009F77FC">
      <w:pPr>
        <w:ind w:left="1440"/>
      </w:pPr>
    </w:p>
    <w:p w14:paraId="5277CBC8" w14:textId="77777777" w:rsidR="003C502B" w:rsidRPr="003C502B" w:rsidRDefault="00CB50BC" w:rsidP="000B5C64">
      <w:pPr>
        <w:pStyle w:val="ListParagraph"/>
        <w:keepNext/>
        <w:ind w:left="1440" w:hanging="720"/>
        <w:rPr>
          <w:u w:val="single"/>
        </w:rPr>
      </w:pPr>
      <w:r w:rsidRPr="00CB50BC">
        <w:t>2)</w:t>
      </w:r>
      <w:r w:rsidRPr="00CB50BC">
        <w:tab/>
      </w:r>
      <w:r w:rsidR="003C502B" w:rsidRPr="003C502B">
        <w:rPr>
          <w:u w:val="single"/>
        </w:rPr>
        <w:t>Experience</w:t>
      </w:r>
    </w:p>
    <w:p w14:paraId="58D189A0" w14:textId="77777777" w:rsidR="003C502B" w:rsidRDefault="003C502B" w:rsidP="003C502B">
      <w:pPr>
        <w:pStyle w:val="ListParagraph"/>
        <w:keepNext/>
        <w:ind w:left="1440"/>
      </w:pPr>
      <w:r>
        <w:t>LLNS desires a Subcontractor capable of providing all architectural and engineering services as well as procurement of construction and construction management support for the repair, modification or replacement of aging HVAC infrastructure at various DOE/NNSA sites throughout the complex. Therefore, please provide the following:</w:t>
      </w:r>
    </w:p>
    <w:p w14:paraId="7999B462" w14:textId="77777777" w:rsidR="003C502B" w:rsidRDefault="003C502B" w:rsidP="003C502B">
      <w:pPr>
        <w:keepNext/>
        <w:numPr>
          <w:ilvl w:val="1"/>
          <w:numId w:val="7"/>
        </w:numPr>
      </w:pPr>
      <w:r>
        <w:t xml:space="preserve">Description </w:t>
      </w:r>
      <w:r w:rsidRPr="009F77FC">
        <w:t xml:space="preserve">of relevant </w:t>
      </w:r>
      <w:r>
        <w:t>projects completed in the past three years</w:t>
      </w:r>
    </w:p>
    <w:p w14:paraId="18AA1E12" w14:textId="77777777" w:rsidR="003C502B" w:rsidRDefault="003C502B" w:rsidP="003C502B">
      <w:pPr>
        <w:keepNext/>
        <w:numPr>
          <w:ilvl w:val="1"/>
          <w:numId w:val="7"/>
        </w:numPr>
      </w:pPr>
      <w:r>
        <w:t>Value of the work performed by the contractor's own forces on all projects listed above.</w:t>
      </w:r>
    </w:p>
    <w:p w14:paraId="515065CA" w14:textId="77777777" w:rsidR="003C502B" w:rsidRDefault="003C502B" w:rsidP="003C502B">
      <w:pPr>
        <w:numPr>
          <w:ilvl w:val="1"/>
          <w:numId w:val="7"/>
        </w:numPr>
      </w:pPr>
      <w:r>
        <w:t>Name and phone number of the owner’s representative for each project listed above.</w:t>
      </w:r>
    </w:p>
    <w:p w14:paraId="145DDAA4" w14:textId="77777777" w:rsidR="006765AE" w:rsidRDefault="006765AE" w:rsidP="006765AE">
      <w:pPr>
        <w:keepNext/>
        <w:ind w:left="1440" w:hanging="720"/>
      </w:pPr>
    </w:p>
    <w:p w14:paraId="6F997A66" w14:textId="77777777" w:rsidR="00CB50BC" w:rsidRDefault="00CB50BC" w:rsidP="009F77FC">
      <w:pPr>
        <w:keepNext/>
        <w:ind w:left="1440" w:hanging="720"/>
        <w:rPr>
          <w:u w:val="single"/>
        </w:rPr>
      </w:pPr>
      <w:r>
        <w:t>3</w:t>
      </w:r>
      <w:r w:rsidR="006765AE">
        <w:t>)</w:t>
      </w:r>
      <w:r w:rsidR="006765AE">
        <w:tab/>
      </w:r>
      <w:r w:rsidR="006765AE" w:rsidRPr="006765AE">
        <w:rPr>
          <w:u w:val="single"/>
        </w:rPr>
        <w:t>Financial Data</w:t>
      </w:r>
    </w:p>
    <w:p w14:paraId="6DF99D6D" w14:textId="77777777" w:rsidR="006765AE" w:rsidRDefault="00D64C58" w:rsidP="00CB50BC">
      <w:pPr>
        <w:keepNext/>
        <w:ind w:left="1440"/>
      </w:pPr>
      <w:r>
        <w:t>Provide a copy of Income Statements</w:t>
      </w:r>
      <w:r w:rsidR="005D2BA1">
        <w:t>, Cash Flow Statements</w:t>
      </w:r>
      <w:r>
        <w:t xml:space="preserve"> and Balance Sheets (audited or un-audited) f</w:t>
      </w:r>
      <w:r w:rsidR="00273759">
        <w:t>or the last two years</w:t>
      </w:r>
      <w:r w:rsidR="006765AE">
        <w:t>.</w:t>
      </w:r>
    </w:p>
    <w:p w14:paraId="1C1960E7" w14:textId="77777777" w:rsidR="006765AE" w:rsidRDefault="006765AE" w:rsidP="006765AE">
      <w:pPr>
        <w:ind w:left="1440" w:hanging="720"/>
      </w:pPr>
    </w:p>
    <w:p w14:paraId="14A72C9A" w14:textId="77777777" w:rsidR="006765AE" w:rsidRDefault="00CB50BC" w:rsidP="006765AE">
      <w:pPr>
        <w:keepNext/>
        <w:ind w:left="1440" w:hanging="720"/>
      </w:pPr>
      <w:r>
        <w:t>4</w:t>
      </w:r>
      <w:r w:rsidR="006765AE">
        <w:t>)</w:t>
      </w:r>
      <w:r w:rsidR="006765AE">
        <w:tab/>
      </w:r>
      <w:r w:rsidR="006765AE" w:rsidRPr="005412FD">
        <w:rPr>
          <w:u w:val="single"/>
        </w:rPr>
        <w:t>Surety</w:t>
      </w:r>
    </w:p>
    <w:p w14:paraId="6C66C9A3" w14:textId="77777777" w:rsidR="0055096C" w:rsidRDefault="00D64C58" w:rsidP="009F77FC">
      <w:pPr>
        <w:keepNext/>
        <w:ind w:left="1440"/>
      </w:pPr>
      <w:r>
        <w:t>Provide n</w:t>
      </w:r>
      <w:r w:rsidR="006765AE">
        <w:t>ame of present surety</w:t>
      </w:r>
      <w:r>
        <w:t xml:space="preserve"> </w:t>
      </w:r>
      <w:r w:rsidR="0055096C">
        <w:t xml:space="preserve">with a certification from the surety confirming: </w:t>
      </w:r>
    </w:p>
    <w:p w14:paraId="3E526D2C" w14:textId="77777777" w:rsidR="0055096C" w:rsidRDefault="0055096C" w:rsidP="0055096C">
      <w:pPr>
        <w:keepNext/>
        <w:numPr>
          <w:ilvl w:val="3"/>
          <w:numId w:val="2"/>
        </w:numPr>
        <w:tabs>
          <w:tab w:val="clear" w:pos="2880"/>
        </w:tabs>
        <w:ind w:left="2520"/>
      </w:pPr>
      <w:r>
        <w:t>The number of times it has completed contractor's work in the past five years.</w:t>
      </w:r>
    </w:p>
    <w:p w14:paraId="7B330DAB" w14:textId="77777777" w:rsidR="0055096C" w:rsidRDefault="0055096C" w:rsidP="0055096C">
      <w:pPr>
        <w:keepNext/>
        <w:numPr>
          <w:ilvl w:val="3"/>
          <w:numId w:val="2"/>
        </w:numPr>
        <w:tabs>
          <w:tab w:val="clear" w:pos="2880"/>
        </w:tabs>
        <w:ind w:left="2520"/>
      </w:pPr>
      <w:r>
        <w:t>Total bonding capacity of the contractor in dollars.</w:t>
      </w:r>
    </w:p>
    <w:p w14:paraId="70A04D68" w14:textId="77777777" w:rsidR="0055096C" w:rsidRDefault="0055096C" w:rsidP="0055096C">
      <w:pPr>
        <w:numPr>
          <w:ilvl w:val="3"/>
          <w:numId w:val="2"/>
        </w:numPr>
        <w:tabs>
          <w:tab w:val="clear" w:pos="2880"/>
        </w:tabs>
        <w:ind w:left="2520"/>
      </w:pPr>
      <w:r>
        <w:t>Available bonding capacity of the contractor at time of response in dollars.</w:t>
      </w:r>
    </w:p>
    <w:p w14:paraId="50C68B63" w14:textId="77777777" w:rsidR="006765AE" w:rsidRDefault="0055096C" w:rsidP="009F77FC">
      <w:pPr>
        <w:keepNext/>
        <w:ind w:left="1440" w:hanging="720"/>
      </w:pPr>
      <w:r>
        <w:t xml:space="preserve"> </w:t>
      </w:r>
      <w:r w:rsidR="009E6037">
        <w:tab/>
      </w:r>
      <w:r>
        <w:t>Note:  Surety</w:t>
      </w:r>
      <w:r w:rsidR="009F77FC">
        <w:t xml:space="preserve"> </w:t>
      </w:r>
      <w:r w:rsidR="006765AE">
        <w:t>must be listed on the Department of the Treasury's Listing of Approved Sureties</w:t>
      </w:r>
      <w:r w:rsidR="00D64C58">
        <w:t>)</w:t>
      </w:r>
      <w:r w:rsidR="006765AE">
        <w:t>.</w:t>
      </w:r>
    </w:p>
    <w:p w14:paraId="6BDE3180" w14:textId="77777777" w:rsidR="006765AE" w:rsidRDefault="006765AE" w:rsidP="006765AE">
      <w:pPr>
        <w:ind w:left="1440" w:hanging="720"/>
      </w:pPr>
    </w:p>
    <w:p w14:paraId="461DE1DA" w14:textId="77777777" w:rsidR="006765AE" w:rsidRDefault="00CB50BC" w:rsidP="006765AE">
      <w:pPr>
        <w:keepNext/>
        <w:ind w:left="1440" w:hanging="720"/>
      </w:pPr>
      <w:r>
        <w:t>5</w:t>
      </w:r>
      <w:r w:rsidR="006765AE">
        <w:t>)</w:t>
      </w:r>
      <w:r w:rsidR="006765AE">
        <w:tab/>
      </w:r>
      <w:r w:rsidR="006765AE" w:rsidRPr="005412FD">
        <w:rPr>
          <w:u w:val="single"/>
        </w:rPr>
        <w:t>Insurance</w:t>
      </w:r>
    </w:p>
    <w:p w14:paraId="036E46D5" w14:textId="77777777" w:rsidR="006765AE" w:rsidRDefault="006765AE" w:rsidP="005412FD">
      <w:pPr>
        <w:keepNext/>
        <w:numPr>
          <w:ilvl w:val="0"/>
          <w:numId w:val="3"/>
        </w:numPr>
        <w:tabs>
          <w:tab w:val="clear" w:pos="1440"/>
        </w:tabs>
        <w:ind w:left="1800"/>
      </w:pPr>
      <w:r>
        <w:t>Name of insurance carrier and local broker.</w:t>
      </w:r>
    </w:p>
    <w:p w14:paraId="38A01CAA" w14:textId="77777777" w:rsidR="006765AE" w:rsidRDefault="006765AE" w:rsidP="005412FD">
      <w:pPr>
        <w:numPr>
          <w:ilvl w:val="0"/>
          <w:numId w:val="3"/>
        </w:numPr>
        <w:tabs>
          <w:tab w:val="clear" w:pos="1440"/>
        </w:tabs>
        <w:ind w:left="1800"/>
      </w:pPr>
      <w:r>
        <w:t xml:space="preserve">A certificate of insurance showing that the Contractor can meet the insurance requirements listed </w:t>
      </w:r>
      <w:r w:rsidR="00A11D35">
        <w:t>below</w:t>
      </w:r>
      <w:r>
        <w:t>.</w:t>
      </w:r>
    </w:p>
    <w:p w14:paraId="717883F1" w14:textId="77777777" w:rsidR="006765AE" w:rsidRDefault="006765AE" w:rsidP="006765AE">
      <w:pPr>
        <w:ind w:left="1440" w:hanging="720"/>
      </w:pPr>
    </w:p>
    <w:p w14:paraId="376A9AC1" w14:textId="6CD6816B" w:rsidR="006765AE" w:rsidRDefault="006765AE" w:rsidP="005412FD">
      <w:pPr>
        <w:ind w:left="1800"/>
      </w:pPr>
      <w:r w:rsidRPr="00DF5CDA">
        <w:t>The following level</w:t>
      </w:r>
      <w:r w:rsidR="00DA6BB0">
        <w:t>s</w:t>
      </w:r>
      <w:r w:rsidRPr="00DF5CDA">
        <w:t xml:space="preserve"> of insurance </w:t>
      </w:r>
      <w:r w:rsidR="00DA6BB0">
        <w:t xml:space="preserve">are </w:t>
      </w:r>
      <w:r w:rsidRPr="00DF5CDA">
        <w:t xml:space="preserve">required for this </w:t>
      </w:r>
      <w:r w:rsidR="005C54CC">
        <w:t>type of work</w:t>
      </w:r>
      <w:r w:rsidRPr="00DF5CDA">
        <w:t>.</w:t>
      </w:r>
    </w:p>
    <w:p w14:paraId="0FBFAEAA" w14:textId="77777777" w:rsidR="00B85235" w:rsidRDefault="00B85235" w:rsidP="005C54CC">
      <w:pPr>
        <w:tabs>
          <w:tab w:val="right" w:pos="7560"/>
        </w:tabs>
        <w:ind w:left="1800"/>
      </w:pPr>
    </w:p>
    <w:p w14:paraId="479C6D59" w14:textId="77777777" w:rsidR="006E4D04" w:rsidRPr="0049106B" w:rsidRDefault="006E4D04" w:rsidP="006E4D04">
      <w:pPr>
        <w:keepNext/>
        <w:tabs>
          <w:tab w:val="left" w:pos="7380"/>
        </w:tabs>
        <w:ind w:left="1800" w:hanging="360"/>
      </w:pPr>
      <w:r w:rsidRPr="0049106B">
        <w:lastRenderedPageBreak/>
        <w:t>a.</w:t>
      </w:r>
      <w:r w:rsidRPr="0049106B">
        <w:tab/>
      </w:r>
      <w:r w:rsidRPr="0049106B">
        <w:rPr>
          <w:u w:val="single"/>
        </w:rPr>
        <w:t>Commercial General Liability Insurance</w:t>
      </w:r>
      <w:r w:rsidRPr="0049106B">
        <w:tab/>
      </w:r>
      <w:r w:rsidRPr="0049106B">
        <w:rPr>
          <w:u w:val="single"/>
        </w:rPr>
        <w:t>Minimum Limit</w:t>
      </w:r>
    </w:p>
    <w:p w14:paraId="571BD502" w14:textId="77777777" w:rsidR="006E4D04" w:rsidRPr="0049106B" w:rsidRDefault="006E4D04" w:rsidP="006E4D04">
      <w:pPr>
        <w:pStyle w:val="indent"/>
        <w:keepNext/>
        <w:numPr>
          <w:ilvl w:val="0"/>
          <w:numId w:val="12"/>
        </w:numPr>
        <w:tabs>
          <w:tab w:val="clear" w:pos="1080"/>
          <w:tab w:val="clear" w:pos="2520"/>
          <w:tab w:val="left" w:pos="2160"/>
          <w:tab w:val="left" w:pos="7560"/>
          <w:tab w:val="right" w:pos="8820"/>
        </w:tabs>
        <w:spacing w:before="60"/>
        <w:ind w:left="2160"/>
        <w:rPr>
          <w:rFonts w:ascii="Times New Roman" w:hAnsi="Times New Roman"/>
        </w:rPr>
      </w:pPr>
      <w:r w:rsidRPr="0049106B">
        <w:rPr>
          <w:rFonts w:ascii="Times New Roman" w:hAnsi="Times New Roman"/>
        </w:rPr>
        <w:t>Per Occurrence and General Aggregate</w:t>
      </w:r>
      <w:r w:rsidRPr="0049106B">
        <w:rPr>
          <w:rFonts w:ascii="Times New Roman" w:hAnsi="Times New Roman"/>
        </w:rPr>
        <w:tab/>
        <w:t>$</w:t>
      </w:r>
      <w:r w:rsidRPr="0049106B">
        <w:rPr>
          <w:rFonts w:ascii="Times New Roman" w:hAnsi="Times New Roman"/>
        </w:rPr>
        <w:tab/>
      </w:r>
      <w:r>
        <w:rPr>
          <w:rFonts w:ascii="Times New Roman" w:hAnsi="Times New Roman"/>
        </w:rPr>
        <w:t>10</w:t>
      </w:r>
      <w:r w:rsidRPr="0049106B">
        <w:rPr>
          <w:rFonts w:ascii="Times New Roman" w:hAnsi="Times New Roman"/>
        </w:rPr>
        <w:t>,000,000</w:t>
      </w:r>
    </w:p>
    <w:p w14:paraId="61C79A39" w14:textId="77777777" w:rsidR="006E4D04" w:rsidRPr="0049106B" w:rsidRDefault="006E4D04" w:rsidP="006E4D04">
      <w:pPr>
        <w:pStyle w:val="indent"/>
        <w:keepNext/>
        <w:numPr>
          <w:ilvl w:val="0"/>
          <w:numId w:val="12"/>
        </w:numPr>
        <w:tabs>
          <w:tab w:val="clear" w:pos="1080"/>
          <w:tab w:val="clear" w:pos="2520"/>
          <w:tab w:val="left" w:pos="2160"/>
          <w:tab w:val="left" w:pos="7560"/>
          <w:tab w:val="right" w:pos="8820"/>
        </w:tabs>
        <w:spacing w:before="60"/>
        <w:ind w:left="2160"/>
        <w:rPr>
          <w:rFonts w:ascii="Times New Roman" w:hAnsi="Times New Roman"/>
        </w:rPr>
      </w:pPr>
      <w:r w:rsidRPr="0049106B">
        <w:rPr>
          <w:rFonts w:ascii="Times New Roman" w:hAnsi="Times New Roman"/>
        </w:rPr>
        <w:t xml:space="preserve">Products/Completed Operations Aggregate </w:t>
      </w:r>
      <w:r w:rsidRPr="0049106B">
        <w:rPr>
          <w:rFonts w:ascii="Times New Roman" w:hAnsi="Times New Roman"/>
        </w:rPr>
        <w:tab/>
        <w:t>$</w:t>
      </w:r>
      <w:r w:rsidRPr="0049106B">
        <w:rPr>
          <w:rFonts w:ascii="Times New Roman" w:hAnsi="Times New Roman"/>
        </w:rPr>
        <w:tab/>
      </w:r>
      <w:r>
        <w:rPr>
          <w:rFonts w:ascii="Times New Roman" w:hAnsi="Times New Roman"/>
        </w:rPr>
        <w:t>10</w:t>
      </w:r>
      <w:r w:rsidRPr="0049106B">
        <w:rPr>
          <w:rFonts w:ascii="Times New Roman" w:hAnsi="Times New Roman"/>
        </w:rPr>
        <w:t>,000,000</w:t>
      </w:r>
    </w:p>
    <w:p w14:paraId="41745725" w14:textId="77777777" w:rsidR="006E4D04" w:rsidRPr="0049106B" w:rsidRDefault="006E4D04" w:rsidP="006E4D04">
      <w:pPr>
        <w:pStyle w:val="indent"/>
        <w:numPr>
          <w:ilvl w:val="0"/>
          <w:numId w:val="12"/>
        </w:numPr>
        <w:tabs>
          <w:tab w:val="clear" w:pos="1080"/>
          <w:tab w:val="clear" w:pos="2520"/>
          <w:tab w:val="left" w:pos="2160"/>
          <w:tab w:val="left" w:pos="7560"/>
          <w:tab w:val="right" w:pos="8820"/>
        </w:tabs>
        <w:spacing w:before="60"/>
        <w:ind w:left="2160"/>
        <w:rPr>
          <w:rFonts w:ascii="Times New Roman" w:hAnsi="Times New Roman"/>
        </w:rPr>
      </w:pPr>
      <w:r w:rsidRPr="0049106B">
        <w:rPr>
          <w:rFonts w:ascii="Times New Roman" w:hAnsi="Times New Roman"/>
        </w:rPr>
        <w:t>Personal and Advertising Injury</w:t>
      </w:r>
      <w:r w:rsidRPr="0049106B">
        <w:rPr>
          <w:rFonts w:ascii="Times New Roman" w:hAnsi="Times New Roman"/>
        </w:rPr>
        <w:tab/>
        <w:t>$</w:t>
      </w:r>
      <w:r w:rsidRPr="0049106B">
        <w:rPr>
          <w:rFonts w:ascii="Times New Roman" w:hAnsi="Times New Roman"/>
        </w:rPr>
        <w:tab/>
        <w:t>1,000,000</w:t>
      </w:r>
    </w:p>
    <w:p w14:paraId="27400980" w14:textId="77777777" w:rsidR="006E4D04" w:rsidRPr="0049106B" w:rsidRDefault="006E4D04" w:rsidP="006E4D04">
      <w:pPr>
        <w:tabs>
          <w:tab w:val="left" w:pos="7380"/>
        </w:tabs>
        <w:ind w:left="1800" w:hanging="360"/>
      </w:pPr>
    </w:p>
    <w:p w14:paraId="5EB92BEB" w14:textId="77777777" w:rsidR="006E4D04" w:rsidRPr="0049106B" w:rsidRDefault="006E4D04" w:rsidP="006E4D04">
      <w:pPr>
        <w:keepNext/>
        <w:tabs>
          <w:tab w:val="left" w:pos="7380"/>
        </w:tabs>
        <w:ind w:left="1800" w:hanging="360"/>
      </w:pPr>
      <w:r w:rsidRPr="0049106B">
        <w:t>b.</w:t>
      </w:r>
      <w:r w:rsidRPr="0049106B">
        <w:tab/>
      </w:r>
      <w:r w:rsidRPr="0049106B">
        <w:rPr>
          <w:u w:val="single"/>
        </w:rPr>
        <w:t>Business Automobile Liability Insurance</w:t>
      </w:r>
      <w:r w:rsidRPr="0049106B">
        <w:tab/>
      </w:r>
      <w:r w:rsidRPr="0049106B">
        <w:rPr>
          <w:u w:val="single"/>
        </w:rPr>
        <w:t>Minimum Limit</w:t>
      </w:r>
    </w:p>
    <w:p w14:paraId="00D6CDF6" w14:textId="77777777" w:rsidR="006E4D04" w:rsidRPr="0049106B" w:rsidRDefault="006E4D04" w:rsidP="006E4D04">
      <w:pPr>
        <w:pStyle w:val="indent"/>
        <w:numPr>
          <w:ilvl w:val="0"/>
          <w:numId w:val="13"/>
        </w:numPr>
        <w:tabs>
          <w:tab w:val="clear" w:pos="1080"/>
          <w:tab w:val="clear" w:pos="2520"/>
          <w:tab w:val="num" w:pos="2160"/>
          <w:tab w:val="left" w:pos="7560"/>
          <w:tab w:val="right" w:pos="8820"/>
        </w:tabs>
        <w:spacing w:before="60"/>
        <w:ind w:left="2160"/>
        <w:jc w:val="both"/>
        <w:rPr>
          <w:rFonts w:ascii="Times New Roman" w:hAnsi="Times New Roman"/>
        </w:rPr>
      </w:pPr>
      <w:r w:rsidRPr="007A3A04">
        <w:rPr>
          <w:rFonts w:ascii="Times New Roman" w:hAnsi="Times New Roman"/>
        </w:rPr>
        <w:t>Combined Single Limit</w:t>
      </w:r>
      <w:r w:rsidRPr="0049106B">
        <w:rPr>
          <w:rFonts w:ascii="Times New Roman" w:hAnsi="Times New Roman"/>
        </w:rPr>
        <w:tab/>
        <w:t>$</w:t>
      </w:r>
      <w:r w:rsidRPr="0049106B">
        <w:rPr>
          <w:rFonts w:ascii="Times New Roman" w:hAnsi="Times New Roman"/>
        </w:rPr>
        <w:tab/>
        <w:t>1,000,000</w:t>
      </w:r>
    </w:p>
    <w:p w14:paraId="4BA805F2" w14:textId="77777777" w:rsidR="006E4D04" w:rsidRPr="0049106B" w:rsidRDefault="006E4D04" w:rsidP="006E4D04">
      <w:pPr>
        <w:pStyle w:val="Number"/>
        <w:ind w:left="1800" w:firstLine="0"/>
        <w:jc w:val="both"/>
        <w:rPr>
          <w:rFonts w:ascii="Times New Roman" w:hAnsi="Times New Roman"/>
        </w:rPr>
      </w:pPr>
    </w:p>
    <w:p w14:paraId="07F8FBDF" w14:textId="77777777" w:rsidR="006E4D04" w:rsidRPr="0049106B" w:rsidRDefault="006E4D04" w:rsidP="006E4D04">
      <w:pPr>
        <w:pStyle w:val="Number"/>
        <w:keepNext/>
        <w:tabs>
          <w:tab w:val="left" w:pos="7740"/>
        </w:tabs>
        <w:ind w:left="1800" w:hanging="360"/>
        <w:jc w:val="both"/>
        <w:rPr>
          <w:rFonts w:ascii="Times New Roman" w:hAnsi="Times New Roman"/>
        </w:rPr>
      </w:pPr>
      <w:r w:rsidRPr="0049106B">
        <w:t>c.</w:t>
      </w:r>
      <w:r w:rsidRPr="0049106B">
        <w:tab/>
      </w:r>
      <w:r w:rsidRPr="0049106B">
        <w:rPr>
          <w:u w:val="single"/>
        </w:rPr>
        <w:t>Workers' Compensation</w:t>
      </w:r>
      <w:r w:rsidRPr="0049106B">
        <w:t xml:space="preserve"> (As required under California state law </w:t>
      </w:r>
      <w:r w:rsidRPr="0049106B">
        <w:rPr>
          <w:rFonts w:ascii="Times New Roman" w:hAnsi="Times New Roman"/>
        </w:rPr>
        <w:t xml:space="preserve">or other applicable state law for any work not performed in California).  The workers’ compensation insurance shall </w:t>
      </w:r>
      <w:r w:rsidRPr="0049106B">
        <w:t>include the following minimum coverage:</w:t>
      </w:r>
    </w:p>
    <w:p w14:paraId="75E3489D" w14:textId="77777777" w:rsidR="006E4D04" w:rsidRPr="0049106B" w:rsidRDefault="006E4D04" w:rsidP="006E4D04">
      <w:pPr>
        <w:pStyle w:val="Number"/>
        <w:keepNext/>
        <w:tabs>
          <w:tab w:val="left" w:pos="7380"/>
        </w:tabs>
        <w:ind w:left="1440" w:firstLine="0"/>
        <w:jc w:val="both"/>
      </w:pPr>
      <w:r w:rsidRPr="0049106B">
        <w:rPr>
          <w:rFonts w:ascii="Times New Roman" w:hAnsi="Times New Roman"/>
        </w:rPr>
        <w:tab/>
      </w:r>
      <w:r w:rsidRPr="0049106B">
        <w:rPr>
          <w:rFonts w:ascii="Times New Roman" w:hAnsi="Times New Roman"/>
          <w:u w:val="single"/>
        </w:rPr>
        <w:t>Minimum Limit</w:t>
      </w:r>
    </w:p>
    <w:p w14:paraId="2B65AE7D" w14:textId="77777777" w:rsidR="006E4D04" w:rsidRPr="0049106B" w:rsidRDefault="006E4D04" w:rsidP="006E4D04">
      <w:pPr>
        <w:pStyle w:val="Number"/>
        <w:keepNext/>
        <w:numPr>
          <w:ilvl w:val="0"/>
          <w:numId w:val="14"/>
        </w:numPr>
        <w:tabs>
          <w:tab w:val="left" w:pos="7560"/>
          <w:tab w:val="right" w:pos="8820"/>
        </w:tabs>
        <w:spacing w:before="60"/>
        <w:jc w:val="both"/>
        <w:rPr>
          <w:rFonts w:ascii="Times New Roman" w:hAnsi="Times New Roman"/>
        </w:rPr>
      </w:pPr>
      <w:r w:rsidRPr="0049106B">
        <w:t>Employer's Liability, Per Accident</w:t>
      </w:r>
      <w:r w:rsidRPr="0049106B">
        <w:tab/>
        <w:t>$</w:t>
      </w:r>
      <w:r w:rsidRPr="0049106B">
        <w:tab/>
        <w:t>1,000,000</w:t>
      </w:r>
    </w:p>
    <w:p w14:paraId="76E3CA32" w14:textId="77777777" w:rsidR="006E4D04" w:rsidRPr="007A3A04" w:rsidRDefault="006E4D04" w:rsidP="006E4D04">
      <w:pPr>
        <w:pStyle w:val="Number"/>
        <w:keepNext/>
        <w:numPr>
          <w:ilvl w:val="0"/>
          <w:numId w:val="14"/>
        </w:numPr>
        <w:tabs>
          <w:tab w:val="left" w:pos="7560"/>
          <w:tab w:val="right" w:pos="8820"/>
        </w:tabs>
        <w:spacing w:before="60"/>
        <w:rPr>
          <w:rFonts w:ascii="Times New Roman" w:hAnsi="Times New Roman"/>
        </w:rPr>
      </w:pPr>
      <w:r w:rsidRPr="007A3A04">
        <w:t>Employer’s Liability Disease, Each Employee</w:t>
      </w:r>
      <w:r w:rsidRPr="007A3A04">
        <w:tab/>
        <w:t>$</w:t>
      </w:r>
      <w:r w:rsidRPr="007A3A04">
        <w:tab/>
        <w:t>1,000,000</w:t>
      </w:r>
    </w:p>
    <w:p w14:paraId="1BD0E9BC" w14:textId="77777777" w:rsidR="006E4D04" w:rsidRPr="007A3A04" w:rsidRDefault="006E4D04" w:rsidP="006E4D04">
      <w:pPr>
        <w:pStyle w:val="Number"/>
        <w:numPr>
          <w:ilvl w:val="0"/>
          <w:numId w:val="14"/>
        </w:numPr>
        <w:tabs>
          <w:tab w:val="left" w:pos="7560"/>
          <w:tab w:val="right" w:pos="8820"/>
        </w:tabs>
        <w:spacing w:before="60"/>
        <w:rPr>
          <w:rFonts w:ascii="Times New Roman" w:hAnsi="Times New Roman"/>
        </w:rPr>
      </w:pPr>
      <w:r w:rsidRPr="007A3A04">
        <w:t>Employer’s Liability Disease, Policy Limit</w:t>
      </w:r>
      <w:r w:rsidRPr="007A3A04">
        <w:tab/>
        <w:t>$</w:t>
      </w:r>
      <w:r w:rsidRPr="007A3A04">
        <w:tab/>
        <w:t>1,000,000</w:t>
      </w:r>
    </w:p>
    <w:p w14:paraId="38A397A8" w14:textId="77777777" w:rsidR="006E4D04" w:rsidRPr="007A3A04" w:rsidRDefault="006E4D04" w:rsidP="006E4D04">
      <w:pPr>
        <w:tabs>
          <w:tab w:val="left" w:pos="4860"/>
          <w:tab w:val="left" w:pos="7100"/>
        </w:tabs>
        <w:ind w:left="1800" w:hanging="360"/>
      </w:pPr>
    </w:p>
    <w:p w14:paraId="76FDD102" w14:textId="77777777" w:rsidR="006E4D04" w:rsidRPr="007A3A04" w:rsidRDefault="006E4D04" w:rsidP="006E4D04">
      <w:pPr>
        <w:keepNext/>
        <w:tabs>
          <w:tab w:val="left" w:pos="1800"/>
          <w:tab w:val="left" w:pos="7380"/>
        </w:tabs>
        <w:ind w:left="1440"/>
      </w:pPr>
      <w:r w:rsidRPr="007A3A04">
        <w:t>d.</w:t>
      </w:r>
      <w:r w:rsidRPr="007A3A04">
        <w:tab/>
      </w:r>
      <w:r w:rsidRPr="007A3A04">
        <w:rPr>
          <w:u w:val="single"/>
        </w:rPr>
        <w:t>Professional Liability Insurance</w:t>
      </w:r>
      <w:r w:rsidRPr="007A3A04">
        <w:tab/>
      </w:r>
      <w:r w:rsidRPr="007A3A04">
        <w:rPr>
          <w:u w:val="single"/>
        </w:rPr>
        <w:t>Minimum Limit</w:t>
      </w:r>
    </w:p>
    <w:p w14:paraId="024836C9" w14:textId="17740263" w:rsidR="006E4D04" w:rsidRDefault="006E4D04" w:rsidP="006E4D04">
      <w:pPr>
        <w:pStyle w:val="indent"/>
        <w:keepNext/>
        <w:numPr>
          <w:ilvl w:val="0"/>
          <w:numId w:val="15"/>
        </w:numPr>
        <w:tabs>
          <w:tab w:val="clear" w:pos="1080"/>
          <w:tab w:val="clear" w:pos="2520"/>
          <w:tab w:val="num" w:pos="2160"/>
          <w:tab w:val="left" w:pos="7560"/>
          <w:tab w:val="right" w:pos="8820"/>
        </w:tabs>
        <w:spacing w:before="60"/>
        <w:ind w:left="2160"/>
        <w:rPr>
          <w:rFonts w:ascii="Times New Roman" w:hAnsi="Times New Roman"/>
        </w:rPr>
      </w:pPr>
      <w:r w:rsidRPr="007A3A04">
        <w:rPr>
          <w:rFonts w:ascii="Times New Roman" w:hAnsi="Times New Roman"/>
        </w:rPr>
        <w:t>Per Claim and General Aggregate</w:t>
      </w:r>
      <w:r w:rsidRPr="007A3A04">
        <w:rPr>
          <w:rFonts w:ascii="Times New Roman" w:hAnsi="Times New Roman"/>
        </w:rPr>
        <w:tab/>
        <w:t>$</w:t>
      </w:r>
      <w:r w:rsidRPr="007A3A04">
        <w:rPr>
          <w:rFonts w:ascii="Times New Roman" w:hAnsi="Times New Roman"/>
        </w:rPr>
        <w:tab/>
        <w:t>5,000,000</w:t>
      </w:r>
    </w:p>
    <w:p w14:paraId="588C490F" w14:textId="5C34474D" w:rsidR="007B2E49" w:rsidRDefault="007B2E49" w:rsidP="007B2E49">
      <w:pPr>
        <w:pStyle w:val="indent"/>
        <w:keepNext/>
        <w:tabs>
          <w:tab w:val="clear" w:pos="1080"/>
          <w:tab w:val="left" w:pos="7560"/>
          <w:tab w:val="right" w:pos="8820"/>
        </w:tabs>
        <w:spacing w:before="60"/>
        <w:rPr>
          <w:rFonts w:ascii="Times New Roman" w:hAnsi="Times New Roman"/>
        </w:rPr>
      </w:pPr>
    </w:p>
    <w:p w14:paraId="04F5DFE4" w14:textId="77777777" w:rsidR="00C4656F" w:rsidRPr="00F64F9C" w:rsidRDefault="00C4656F" w:rsidP="00C4656F">
      <w:pPr>
        <w:keepNext/>
        <w:tabs>
          <w:tab w:val="left" w:pos="1800"/>
          <w:tab w:val="left" w:pos="7380"/>
        </w:tabs>
        <w:ind w:left="1800" w:hanging="360"/>
      </w:pPr>
      <w:r w:rsidRPr="00F64F9C">
        <w:rPr>
          <w:rFonts w:ascii="Times" w:hAnsi="Times"/>
        </w:rPr>
        <w:t>e.</w:t>
      </w:r>
      <w:r w:rsidRPr="00F64F9C">
        <w:rPr>
          <w:rFonts w:ascii="Times" w:hAnsi="Times"/>
        </w:rPr>
        <w:tab/>
      </w:r>
      <w:r w:rsidRPr="00F64F9C">
        <w:rPr>
          <w:rFonts w:ascii="Times" w:hAnsi="Times"/>
          <w:u w:val="single"/>
        </w:rPr>
        <w:t>Contractors Pollution Liability</w:t>
      </w:r>
      <w:r w:rsidRPr="00F64F9C">
        <w:rPr>
          <w:rFonts w:ascii="Times" w:hAnsi="Times"/>
        </w:rPr>
        <w:t xml:space="preserve"> </w:t>
      </w:r>
      <w:r w:rsidRPr="00F64F9C">
        <w:t>(applicable if any work or activities involve asbestos, lead, or hazardous waste)</w:t>
      </w:r>
    </w:p>
    <w:p w14:paraId="679ACE45" w14:textId="77777777" w:rsidR="00C4656F" w:rsidRPr="00F64F9C" w:rsidRDefault="00C4656F" w:rsidP="00C4656F">
      <w:pPr>
        <w:keepNext/>
        <w:keepLines/>
        <w:tabs>
          <w:tab w:val="left" w:pos="7380"/>
        </w:tabs>
        <w:ind w:left="2160"/>
        <w:rPr>
          <w:rFonts w:ascii="Times" w:hAnsi="Times"/>
        </w:rPr>
      </w:pPr>
      <w:r w:rsidRPr="00F64F9C">
        <w:tab/>
      </w:r>
      <w:r w:rsidRPr="00F64F9C">
        <w:rPr>
          <w:u w:val="single"/>
        </w:rPr>
        <w:t>Minimum Limit</w:t>
      </w:r>
    </w:p>
    <w:p w14:paraId="38E81FDB" w14:textId="77777777" w:rsidR="00C4656F" w:rsidRPr="00F64F9C" w:rsidRDefault="00C4656F" w:rsidP="00C4656F">
      <w:pPr>
        <w:keepNext/>
        <w:keepLines/>
        <w:numPr>
          <w:ilvl w:val="0"/>
          <w:numId w:val="16"/>
        </w:numPr>
        <w:tabs>
          <w:tab w:val="num" w:pos="2160"/>
          <w:tab w:val="left" w:pos="7560"/>
          <w:tab w:val="right" w:pos="8820"/>
        </w:tabs>
        <w:overflowPunct/>
        <w:autoSpaceDE/>
        <w:autoSpaceDN/>
        <w:adjustRightInd/>
        <w:spacing w:before="60"/>
        <w:ind w:left="2160"/>
        <w:textAlignment w:val="auto"/>
      </w:pPr>
      <w:r w:rsidRPr="00F64F9C">
        <w:rPr>
          <w:rFonts w:ascii="Times" w:hAnsi="Times"/>
        </w:rPr>
        <w:t>Contractors Pollution Liability, Per Occurrence</w:t>
      </w:r>
      <w:r w:rsidRPr="00F64F9C">
        <w:rPr>
          <w:rFonts w:ascii="Times" w:hAnsi="Times"/>
        </w:rPr>
        <w:tab/>
        <w:t>$</w:t>
      </w:r>
      <w:r w:rsidRPr="00F64F9C">
        <w:rPr>
          <w:rFonts w:ascii="Times" w:hAnsi="Times"/>
        </w:rPr>
        <w:tab/>
        <w:t>5,000,000</w:t>
      </w:r>
    </w:p>
    <w:p w14:paraId="3C1AF8E3" w14:textId="77777777" w:rsidR="00C4656F" w:rsidRPr="00F64F9C" w:rsidRDefault="00C4656F" w:rsidP="00C4656F">
      <w:pPr>
        <w:keepNext/>
        <w:keepLines/>
        <w:numPr>
          <w:ilvl w:val="0"/>
          <w:numId w:val="16"/>
        </w:numPr>
        <w:tabs>
          <w:tab w:val="num" w:pos="2160"/>
          <w:tab w:val="left" w:pos="7560"/>
          <w:tab w:val="right" w:pos="8820"/>
        </w:tabs>
        <w:overflowPunct/>
        <w:autoSpaceDE/>
        <w:autoSpaceDN/>
        <w:adjustRightInd/>
        <w:spacing w:before="60"/>
        <w:ind w:left="2160"/>
        <w:jc w:val="left"/>
        <w:textAlignment w:val="auto"/>
      </w:pPr>
      <w:r w:rsidRPr="00F64F9C">
        <w:rPr>
          <w:rFonts w:ascii="Times" w:hAnsi="Times"/>
        </w:rPr>
        <w:t>Contractors Pollution Liability, Aggregate</w:t>
      </w:r>
      <w:r w:rsidRPr="00F64F9C">
        <w:rPr>
          <w:rFonts w:ascii="Times" w:hAnsi="Times"/>
        </w:rPr>
        <w:tab/>
        <w:t>$</w:t>
      </w:r>
      <w:r w:rsidRPr="00F64F9C">
        <w:rPr>
          <w:rFonts w:ascii="Times" w:hAnsi="Times"/>
        </w:rPr>
        <w:tab/>
        <w:t>5,000,000</w:t>
      </w:r>
    </w:p>
    <w:p w14:paraId="71CAFE9E" w14:textId="77777777" w:rsidR="00C4656F" w:rsidRPr="00F64F9C" w:rsidRDefault="00C4656F" w:rsidP="00C4656F">
      <w:pPr>
        <w:tabs>
          <w:tab w:val="left" w:pos="7560"/>
          <w:tab w:val="right" w:pos="8820"/>
        </w:tabs>
        <w:spacing w:before="60"/>
        <w:ind w:left="1800"/>
        <w:jc w:val="left"/>
      </w:pPr>
    </w:p>
    <w:p w14:paraId="78BB713A" w14:textId="0F033C74" w:rsidR="00C53632" w:rsidRPr="00D027D2" w:rsidRDefault="009C66CD" w:rsidP="000B5C64">
      <w:pPr>
        <w:keepNext/>
        <w:tabs>
          <w:tab w:val="left" w:pos="1800"/>
          <w:tab w:val="left" w:pos="7380"/>
        </w:tabs>
        <w:ind w:left="1800" w:hanging="360"/>
      </w:pPr>
      <w:r>
        <w:rPr>
          <w:rFonts w:ascii="Times" w:hAnsi="Times"/>
        </w:rPr>
        <w:t>f</w:t>
      </w:r>
      <w:r w:rsidRPr="00F64F9C">
        <w:rPr>
          <w:rFonts w:ascii="Times" w:hAnsi="Times"/>
        </w:rPr>
        <w:t>.</w:t>
      </w:r>
      <w:r w:rsidRPr="00F64F9C">
        <w:rPr>
          <w:rFonts w:ascii="Times" w:hAnsi="Times"/>
        </w:rPr>
        <w:tab/>
      </w:r>
      <w:r w:rsidR="00C53632" w:rsidRPr="00DA6BB0">
        <w:rPr>
          <w:bCs/>
          <w:u w:val="single"/>
        </w:rPr>
        <w:t>BUILDERS RISK PROPERTY INSURANCE</w:t>
      </w:r>
    </w:p>
    <w:p w14:paraId="49F3AFD0" w14:textId="77777777" w:rsidR="00C53632" w:rsidRPr="00D027D2" w:rsidRDefault="00C53632" w:rsidP="000B5C64">
      <w:pPr>
        <w:pStyle w:val="1Heading"/>
        <w:keepNext w:val="0"/>
        <w:ind w:left="1800"/>
      </w:pPr>
      <w:r w:rsidRPr="00D027D2">
        <w:t xml:space="preserve">(Applicable for new construction and alterations to existing buildings which involve the structure of the building (e.g., new roof, new exterior walls, etc.). </w:t>
      </w:r>
    </w:p>
    <w:p w14:paraId="0AD88AAF" w14:textId="77777777" w:rsidR="00C53632" w:rsidRPr="00D027D2" w:rsidRDefault="00C53632" w:rsidP="00557FA5">
      <w:pPr>
        <w:jc w:val="left"/>
      </w:pPr>
    </w:p>
    <w:p w14:paraId="657BC19A" w14:textId="57B30221" w:rsidR="00C53632" w:rsidRPr="00D027D2" w:rsidRDefault="00C53632" w:rsidP="00C53632">
      <w:pPr>
        <w:pStyle w:val="ListParagraph"/>
        <w:keepLines/>
        <w:numPr>
          <w:ilvl w:val="0"/>
          <w:numId w:val="17"/>
        </w:numPr>
        <w:overflowPunct/>
        <w:autoSpaceDE/>
        <w:autoSpaceDN/>
        <w:adjustRightInd/>
        <w:textAlignment w:val="auto"/>
        <w:rPr>
          <w:rFonts w:ascii="Times" w:hAnsi="Times"/>
        </w:rPr>
      </w:pPr>
      <w:r w:rsidRPr="00D027D2">
        <w:rPr>
          <w:rFonts w:ascii="Times" w:hAnsi="Times"/>
        </w:rPr>
        <w:t xml:space="preserve">The Subcontractor shall, at its own expense, provide and maintain insurance under a “Standard Risk Course of Construction” policy, to include transit insurance coverage, insuring all work done and materials supplied in connection with work done in performance of this Subcontract against loss or damage resulting from all risks of physical loss or damage, including, but not limited to, fire and associated perils, vandalism and malicious mischief, earthquake, and flood if the location of the work has been delineated in a flood hazard boundary map issued by the Department of Housing and Urban Development, or other causes. Such insurance shall be issued with limits on a completed value basis and valuation to be on a replacement cost basis. </w:t>
      </w:r>
    </w:p>
    <w:p w14:paraId="57BF2515" w14:textId="77777777" w:rsidR="00C53632" w:rsidRPr="00D027D2" w:rsidRDefault="00C53632" w:rsidP="00C53632">
      <w:pPr>
        <w:keepLines/>
        <w:tabs>
          <w:tab w:val="left" w:pos="7740"/>
        </w:tabs>
        <w:ind w:left="1080" w:hanging="360"/>
        <w:rPr>
          <w:rFonts w:ascii="Times" w:hAnsi="Times"/>
        </w:rPr>
      </w:pPr>
    </w:p>
    <w:p w14:paraId="5AFE854C" w14:textId="5C70F2E4" w:rsidR="00C53632" w:rsidRPr="00D027D2" w:rsidRDefault="00C53632" w:rsidP="00C53632">
      <w:pPr>
        <w:pStyle w:val="ListParagraph"/>
        <w:keepLines/>
        <w:numPr>
          <w:ilvl w:val="0"/>
          <w:numId w:val="17"/>
        </w:numPr>
        <w:overflowPunct/>
        <w:autoSpaceDE/>
        <w:autoSpaceDN/>
        <w:adjustRightInd/>
        <w:textAlignment w:val="auto"/>
        <w:rPr>
          <w:rFonts w:ascii="Times" w:hAnsi="Times"/>
        </w:rPr>
      </w:pPr>
      <w:r w:rsidRPr="00D027D2">
        <w:rPr>
          <w:rFonts w:ascii="Times" w:hAnsi="Times"/>
        </w:rPr>
        <w:lastRenderedPageBreak/>
        <w:t xml:space="preserve">The word “flood,” as used in this clause, shall have the same definition as used in the National Flood Insurance Act, which is “a general and temporary condition of partial or complete inundation of normally dry land areas from (1) the overflow of streams, rivers or other inland water, or (2) abnormally high tidal water or rising coastal waters resulting from severe storms, hurricanes or tsunamis (destructive sea wave caused by an underwater earthquake)”. </w:t>
      </w:r>
    </w:p>
    <w:p w14:paraId="714C994F" w14:textId="742306F1" w:rsidR="00C53632" w:rsidRPr="00D027D2" w:rsidRDefault="00C53632" w:rsidP="00C53632">
      <w:pPr>
        <w:keepLines/>
        <w:tabs>
          <w:tab w:val="left" w:pos="7740"/>
        </w:tabs>
        <w:ind w:left="1080" w:hanging="360"/>
        <w:rPr>
          <w:rFonts w:ascii="Times" w:hAnsi="Times"/>
        </w:rPr>
      </w:pPr>
    </w:p>
    <w:p w14:paraId="22A270B3" w14:textId="71E03C82" w:rsidR="00C53632" w:rsidRPr="00D027D2" w:rsidRDefault="00C53632" w:rsidP="00C53632">
      <w:pPr>
        <w:pStyle w:val="ListParagraph"/>
        <w:keepLines/>
        <w:numPr>
          <w:ilvl w:val="0"/>
          <w:numId w:val="17"/>
        </w:numPr>
        <w:overflowPunct/>
        <w:autoSpaceDE/>
        <w:autoSpaceDN/>
        <w:adjustRightInd/>
        <w:textAlignment w:val="auto"/>
        <w:rPr>
          <w:rFonts w:ascii="Times" w:hAnsi="Times"/>
        </w:rPr>
      </w:pPr>
      <w:r w:rsidRPr="00D027D2">
        <w:rPr>
          <w:rFonts w:ascii="Times" w:hAnsi="Times"/>
        </w:rPr>
        <w:t xml:space="preserve">Should the work involve solely alteration work, then earthquake and flood insurance is not required for the existing structure value, but is required for the alteration work if such work exceeds $500,000. Should the work involve both alteration work and new construction, then earthquake and flood insurance is required on the new construction and for the alteration work if such work exceeds $500,000, but is not required for the existing structure. </w:t>
      </w:r>
    </w:p>
    <w:p w14:paraId="276A76A4" w14:textId="77777777" w:rsidR="006E4D04" w:rsidRDefault="006E4D04" w:rsidP="005412FD">
      <w:pPr>
        <w:ind w:left="1800"/>
      </w:pPr>
    </w:p>
    <w:p w14:paraId="3A563F35" w14:textId="77777777" w:rsidR="005412FD" w:rsidRPr="00CB50BC" w:rsidRDefault="00CB50BC" w:rsidP="00CB50BC">
      <w:pPr>
        <w:pStyle w:val="ListParagraph"/>
        <w:keepNext/>
        <w:ind w:left="1440" w:hanging="720"/>
      </w:pPr>
      <w:r w:rsidRPr="00CB50BC">
        <w:t>6)</w:t>
      </w:r>
      <w:r w:rsidRPr="00CB50BC">
        <w:tab/>
      </w:r>
      <w:r w:rsidR="006765AE" w:rsidRPr="00CB50BC">
        <w:rPr>
          <w:u w:val="single"/>
        </w:rPr>
        <w:t>Safety Records</w:t>
      </w:r>
      <w:r w:rsidR="006765AE" w:rsidRPr="00CB50BC">
        <w:t xml:space="preserve"> </w:t>
      </w:r>
    </w:p>
    <w:p w14:paraId="19C3A5A1" w14:textId="77777777" w:rsidR="005412FD" w:rsidRDefault="005412FD" w:rsidP="005412FD">
      <w:pPr>
        <w:keepNext/>
        <w:numPr>
          <w:ilvl w:val="1"/>
          <w:numId w:val="4"/>
        </w:numPr>
      </w:pPr>
      <w:r>
        <w:t>Completed “Subcontractor Safety Prequalification Questionnaire”</w:t>
      </w:r>
      <w:r w:rsidR="00B85235">
        <w:t>.</w:t>
      </w:r>
      <w:r w:rsidR="009E6037">
        <w:t xml:space="preserve"> (</w:t>
      </w:r>
      <w:r w:rsidR="00AB7353">
        <w:t>Enclosed</w:t>
      </w:r>
      <w:r w:rsidR="009E6037">
        <w:t>).</w:t>
      </w:r>
    </w:p>
    <w:p w14:paraId="01B5CF02" w14:textId="77777777" w:rsidR="00642209" w:rsidRDefault="006765AE" w:rsidP="00642209">
      <w:pPr>
        <w:keepNext/>
        <w:numPr>
          <w:ilvl w:val="1"/>
          <w:numId w:val="4"/>
        </w:numPr>
      </w:pPr>
      <w:r>
        <w:t xml:space="preserve">Provide a signed statement from the contractor's workers compensation carrier listing the contractor's </w:t>
      </w:r>
      <w:r w:rsidR="00877A1D">
        <w:t>home state</w:t>
      </w:r>
      <w:r>
        <w:t xml:space="preserve"> </w:t>
      </w:r>
      <w:r w:rsidR="00A22935">
        <w:t>Experience Modification Rates</w:t>
      </w:r>
      <w:r w:rsidR="001F0D7B">
        <w:t xml:space="preserve"> (EMR)</w:t>
      </w:r>
      <w:r w:rsidR="00877A1D">
        <w:t xml:space="preserve"> and or , Interstate EMR</w:t>
      </w:r>
      <w:r>
        <w:t xml:space="preserve"> for the last three years.</w:t>
      </w:r>
      <w:r w:rsidR="004360F6">
        <w:t xml:space="preserve"> </w:t>
      </w:r>
      <w:r w:rsidR="00642209">
        <w:t xml:space="preserve">If your EMR rates are above 1.0 in the last three years, please provide a written explanation </w:t>
      </w:r>
      <w:r w:rsidR="00C11181">
        <w:t xml:space="preserve">of the incident(s) and </w:t>
      </w:r>
      <w:r w:rsidR="00642209">
        <w:t xml:space="preserve">of the </w:t>
      </w:r>
      <w:r w:rsidR="00651700">
        <w:t>safety</w:t>
      </w:r>
      <w:r w:rsidR="00642209">
        <w:t xml:space="preserve"> measures </w:t>
      </w:r>
      <w:r w:rsidR="00B85235">
        <w:t>implemented to reduce the rate.</w:t>
      </w:r>
    </w:p>
    <w:p w14:paraId="36D33813" w14:textId="77777777" w:rsidR="00642209" w:rsidRDefault="00642209" w:rsidP="00642209">
      <w:pPr>
        <w:keepNext/>
        <w:numPr>
          <w:ilvl w:val="1"/>
          <w:numId w:val="4"/>
        </w:numPr>
      </w:pPr>
      <w:r>
        <w:t xml:space="preserve">Provide a written explanation </w:t>
      </w:r>
      <w:r w:rsidR="00651700">
        <w:t>of the corrective</w:t>
      </w:r>
      <w:r>
        <w:t xml:space="preserve"> measures that are being implemented by your company to improve its safety if</w:t>
      </w:r>
      <w:r w:rsidR="00D45C02">
        <w:t xml:space="preserve"> any of the following occurs</w:t>
      </w:r>
      <w:r>
        <w:t>:</w:t>
      </w:r>
    </w:p>
    <w:p w14:paraId="601AFB28" w14:textId="77777777" w:rsidR="00642209" w:rsidRDefault="00BB5564" w:rsidP="00642209">
      <w:pPr>
        <w:keepNext/>
        <w:numPr>
          <w:ilvl w:val="2"/>
          <w:numId w:val="4"/>
        </w:numPr>
      </w:pPr>
      <w:r>
        <w:t>Occurrence of</w:t>
      </w:r>
      <w:r w:rsidR="00642209">
        <w:t xml:space="preserve"> any fatalities</w:t>
      </w:r>
      <w:r w:rsidR="00D45C02">
        <w:t xml:space="preserve"> the last three years</w:t>
      </w:r>
      <w:r w:rsidR="00642209">
        <w:t>,</w:t>
      </w:r>
    </w:p>
    <w:p w14:paraId="06221E9A" w14:textId="77777777" w:rsidR="00642209" w:rsidRDefault="00642209" w:rsidP="00642209">
      <w:pPr>
        <w:keepNext/>
        <w:numPr>
          <w:ilvl w:val="2"/>
          <w:numId w:val="4"/>
        </w:numPr>
      </w:pPr>
      <w:r>
        <w:t xml:space="preserve">Receipt of </w:t>
      </w:r>
      <w:r w:rsidR="00BB5564">
        <w:t xml:space="preserve">any </w:t>
      </w:r>
      <w:r>
        <w:t>OSHA citations with</w:t>
      </w:r>
      <w:r w:rsidR="00BB5564">
        <w:t>in</w:t>
      </w:r>
      <w:r>
        <w:t xml:space="preserve"> the past five years,</w:t>
      </w:r>
    </w:p>
    <w:p w14:paraId="65FCB117" w14:textId="77777777" w:rsidR="00421F2A" w:rsidRDefault="00642209" w:rsidP="00642209">
      <w:pPr>
        <w:keepNext/>
        <w:numPr>
          <w:ilvl w:val="2"/>
          <w:numId w:val="4"/>
        </w:numPr>
      </w:pPr>
      <w:r>
        <w:t>Days Away or</w:t>
      </w:r>
      <w:r w:rsidR="00BB5564">
        <w:t xml:space="preserve"> OSHA Recordable Incident Rates</w:t>
      </w:r>
      <w:r>
        <w:t xml:space="preserve"> for the past three years are above the national average found on Table 1 of the Bureau of Labor Statistics website (</w:t>
      </w:r>
      <w:hyperlink r:id="rId8" w:history="1">
        <w:r w:rsidRPr="003A25CA">
          <w:rPr>
            <w:rStyle w:val="Hyperlink"/>
            <w:szCs w:val="24"/>
          </w:rPr>
          <w:t>http://www.bls.gov/iif/oshsum.htm</w:t>
        </w:r>
      </w:hyperlink>
      <w:r w:rsidR="00BB5564">
        <w:t>).</w:t>
      </w:r>
      <w:r>
        <w:t xml:space="preserve"> </w:t>
      </w:r>
    </w:p>
    <w:p w14:paraId="2A22B392" w14:textId="77777777" w:rsidR="006765AE" w:rsidRDefault="006765AE" w:rsidP="005412FD">
      <w:pPr>
        <w:keepNext/>
        <w:numPr>
          <w:ilvl w:val="1"/>
          <w:numId w:val="4"/>
        </w:numPr>
      </w:pPr>
      <w:r>
        <w:t xml:space="preserve">Provide the contractor's </w:t>
      </w:r>
      <w:r w:rsidR="005412FD">
        <w:t>NAICS</w:t>
      </w:r>
      <w:r>
        <w:t xml:space="preserve"> code for OSHA reporting purposes.</w:t>
      </w:r>
    </w:p>
    <w:p w14:paraId="104FB751" w14:textId="77777777" w:rsidR="005D2BA1" w:rsidRDefault="00877A1D" w:rsidP="005412FD">
      <w:pPr>
        <w:keepNext/>
        <w:numPr>
          <w:ilvl w:val="1"/>
          <w:numId w:val="4"/>
        </w:numPr>
      </w:pPr>
      <w:r>
        <w:t>Provide OSHA 300/ 300A logs for the past six years.</w:t>
      </w:r>
    </w:p>
    <w:p w14:paraId="5D3858A5" w14:textId="77777777" w:rsidR="006765AE" w:rsidRDefault="006765AE" w:rsidP="003C502B">
      <w:pPr>
        <w:keepNext/>
      </w:pPr>
    </w:p>
    <w:p w14:paraId="55AD90F3" w14:textId="77777777" w:rsidR="00CB50BC" w:rsidRPr="003C502B" w:rsidRDefault="002A3DB5" w:rsidP="002A3DB5">
      <w:pPr>
        <w:pStyle w:val="ListParagraph"/>
        <w:ind w:left="1440" w:hanging="720"/>
        <w:rPr>
          <w:u w:val="single"/>
        </w:rPr>
      </w:pPr>
      <w:r>
        <w:t>7)</w:t>
      </w:r>
      <w:r>
        <w:tab/>
      </w:r>
      <w:r w:rsidR="003C502B" w:rsidRPr="003C502B">
        <w:rPr>
          <w:u w:val="single"/>
        </w:rPr>
        <w:t>Contractor License</w:t>
      </w:r>
    </w:p>
    <w:p w14:paraId="7E9EA067" w14:textId="073463DF" w:rsidR="003C502B" w:rsidRDefault="002A3DB5" w:rsidP="002A3DB5">
      <w:pPr>
        <w:tabs>
          <w:tab w:val="left" w:pos="1440"/>
        </w:tabs>
        <w:ind w:firstLine="720"/>
      </w:pPr>
      <w:r>
        <w:tab/>
      </w:r>
      <w:r w:rsidR="003C502B">
        <w:t>Provide a copy of your Contractor License</w:t>
      </w:r>
      <w:r w:rsidR="006D1B59">
        <w:t>s</w:t>
      </w:r>
      <w:r w:rsidR="003C502B">
        <w:t xml:space="preserve"> and date</w:t>
      </w:r>
      <w:r w:rsidR="006D1B59">
        <w:t>s</w:t>
      </w:r>
      <w:r w:rsidR="003C502B">
        <w:t xml:space="preserve"> of expiration.</w:t>
      </w:r>
    </w:p>
    <w:p w14:paraId="267C7F5D" w14:textId="77777777" w:rsidR="003C502B" w:rsidRDefault="003C502B" w:rsidP="00CB50BC">
      <w:pPr>
        <w:ind w:left="1800"/>
      </w:pPr>
    </w:p>
    <w:p w14:paraId="112ED4A6" w14:textId="77777777" w:rsidR="00C4638B" w:rsidRPr="001A6107" w:rsidRDefault="009E6037" w:rsidP="00CB50BC">
      <w:pPr>
        <w:keepNext/>
        <w:ind w:left="1440" w:hanging="720"/>
        <w:rPr>
          <w:u w:val="single"/>
        </w:rPr>
      </w:pPr>
      <w:r w:rsidRPr="009E6037">
        <w:t>8</w:t>
      </w:r>
      <w:r w:rsidR="00CB50BC" w:rsidRPr="009E6037">
        <w:t xml:space="preserve">) </w:t>
      </w:r>
      <w:r w:rsidR="00CB50BC" w:rsidRPr="009E6037">
        <w:tab/>
      </w:r>
      <w:r w:rsidR="00C4638B" w:rsidRPr="001A6107">
        <w:rPr>
          <w:u w:val="single"/>
        </w:rPr>
        <w:t>Staffing</w:t>
      </w:r>
    </w:p>
    <w:p w14:paraId="4CA0B12E" w14:textId="77777777" w:rsidR="00C4638B" w:rsidRDefault="00C4638B" w:rsidP="00C4638B">
      <w:pPr>
        <w:keepNext/>
        <w:ind w:left="1440" w:hanging="720"/>
      </w:pPr>
      <w:r>
        <w:tab/>
        <w:t xml:space="preserve">Provide a statement identifying the number of US Citizens employed, or the ability to staff projects adequately with </w:t>
      </w:r>
      <w:smartTag w:uri="urn:schemas-microsoft-com:office:smarttags" w:element="country-region">
        <w:smartTag w:uri="urn:schemas-microsoft-com:office:smarttags" w:element="place">
          <w:r>
            <w:t>US</w:t>
          </w:r>
        </w:smartTag>
      </w:smartTag>
      <w:r>
        <w:t xml:space="preserve"> Citizens.</w:t>
      </w:r>
    </w:p>
    <w:p w14:paraId="4BBA197C" w14:textId="7F1BB896" w:rsidR="00FE35E3" w:rsidRDefault="00FE35E3" w:rsidP="002A3DB5">
      <w:pPr>
        <w:tabs>
          <w:tab w:val="left" w:pos="1440"/>
        </w:tabs>
        <w:overflowPunct/>
        <w:autoSpaceDE/>
        <w:autoSpaceDN/>
        <w:adjustRightInd/>
        <w:jc w:val="left"/>
        <w:textAlignment w:val="auto"/>
      </w:pPr>
    </w:p>
    <w:p w14:paraId="1619AF12" w14:textId="3014B126" w:rsidR="008724FC" w:rsidRPr="001A6107" w:rsidRDefault="008724FC" w:rsidP="008724FC">
      <w:pPr>
        <w:keepNext/>
        <w:ind w:left="1440" w:hanging="720"/>
        <w:rPr>
          <w:u w:val="single"/>
        </w:rPr>
      </w:pPr>
      <w:r>
        <w:t>7</w:t>
      </w:r>
      <w:r w:rsidRPr="009E6037">
        <w:t xml:space="preserve">) </w:t>
      </w:r>
      <w:r w:rsidRPr="009E6037">
        <w:tab/>
      </w:r>
      <w:r w:rsidRPr="00557FA5">
        <w:t>Teaming Arrangements</w:t>
      </w:r>
    </w:p>
    <w:p w14:paraId="725E15DC" w14:textId="2C8B8165" w:rsidR="008724FC" w:rsidRDefault="008724FC" w:rsidP="008724FC">
      <w:pPr>
        <w:keepNext/>
        <w:ind w:left="1440" w:hanging="720"/>
      </w:pPr>
      <w:r>
        <w:tab/>
      </w:r>
      <w:r w:rsidR="00BD52A7">
        <w:t xml:space="preserve">The RFP will allow Teaming arrangements as defined in FAR </w:t>
      </w:r>
      <w:r w:rsidR="0038357A">
        <w:t>P</w:t>
      </w:r>
      <w:r w:rsidR="00BD52A7">
        <w:t xml:space="preserve">art </w:t>
      </w:r>
      <w:r w:rsidR="0038357A">
        <w:t xml:space="preserve">9.6 “Teaming Arrangements” </w:t>
      </w:r>
      <w:r w:rsidR="00BD52A7">
        <w:t>that are either a Joint</w:t>
      </w:r>
      <w:r w:rsidR="0038357A">
        <w:t xml:space="preserve"> Venture or based upon a Teaming Agreement.  </w:t>
      </w:r>
      <w:r>
        <w:t xml:space="preserve"> </w:t>
      </w:r>
      <w:r w:rsidR="0038357A">
        <w:t xml:space="preserve">If your offer will be based upon either, provide information </w:t>
      </w:r>
      <w:r>
        <w:t>regarding the following:</w:t>
      </w:r>
    </w:p>
    <w:p w14:paraId="15F68E9F" w14:textId="06267367" w:rsidR="008724FC" w:rsidRDefault="008724FC" w:rsidP="008724FC">
      <w:pPr>
        <w:keepNext/>
        <w:ind w:left="1440" w:hanging="720"/>
      </w:pPr>
    </w:p>
    <w:p w14:paraId="522F5CDE" w14:textId="52A9E5E1" w:rsidR="008724FC" w:rsidRDefault="008724FC" w:rsidP="00557FA5">
      <w:pPr>
        <w:ind w:left="1800" w:hanging="360"/>
      </w:pPr>
      <w:r>
        <w:t xml:space="preserve">1) </w:t>
      </w:r>
      <w:r w:rsidR="00BD52A7">
        <w:t>Explain if Teaming Arrang</w:t>
      </w:r>
      <w:r w:rsidR="0038357A">
        <w:t>e</w:t>
      </w:r>
      <w:r w:rsidR="00BD52A7">
        <w:t xml:space="preserve">ment is a Joint Venture or based upon a </w:t>
      </w:r>
      <w:r>
        <w:t>Teaming Agreement</w:t>
      </w:r>
      <w:r w:rsidR="00BD52A7">
        <w:t>. Provide copy of the governing document.</w:t>
      </w:r>
    </w:p>
    <w:p w14:paraId="7E0A969F" w14:textId="77777777" w:rsidR="008724FC" w:rsidRDefault="008724FC" w:rsidP="00557FA5">
      <w:pPr>
        <w:ind w:left="720"/>
      </w:pPr>
    </w:p>
    <w:p w14:paraId="77415A21" w14:textId="77777777" w:rsidR="008724FC" w:rsidRDefault="008724FC" w:rsidP="00557FA5">
      <w:pPr>
        <w:ind w:left="1800" w:hanging="360"/>
      </w:pPr>
      <w:r>
        <w:lastRenderedPageBreak/>
        <w:t>2) A detailed statement outlining the following in terms of percentages, where appropriate.</w:t>
      </w:r>
    </w:p>
    <w:p w14:paraId="212B944F" w14:textId="77777777" w:rsidR="008724FC" w:rsidRDefault="008724FC" w:rsidP="00557FA5">
      <w:pPr>
        <w:ind w:left="720"/>
      </w:pPr>
    </w:p>
    <w:p w14:paraId="1FE558F8" w14:textId="5AE4C8DF" w:rsidR="008724FC" w:rsidRDefault="008724FC" w:rsidP="00557FA5">
      <w:pPr>
        <w:pStyle w:val="ListParagraph"/>
        <w:numPr>
          <w:ilvl w:val="0"/>
          <w:numId w:val="19"/>
        </w:numPr>
        <w:tabs>
          <w:tab w:val="left" w:pos="990"/>
        </w:tabs>
        <w:overflowPunct/>
        <w:autoSpaceDE/>
        <w:autoSpaceDN/>
        <w:adjustRightInd/>
        <w:ind w:left="2160"/>
        <w:textAlignment w:val="auto"/>
      </w:pPr>
      <w:r>
        <w:t>The relationship of the parties in terms of business ownership, capital contribution, and profit distribution or loss sharing.</w:t>
      </w:r>
    </w:p>
    <w:p w14:paraId="3C92D366" w14:textId="569F55E4" w:rsidR="008724FC" w:rsidRDefault="008724FC" w:rsidP="00557FA5">
      <w:pPr>
        <w:pStyle w:val="ListParagraph"/>
        <w:numPr>
          <w:ilvl w:val="0"/>
          <w:numId w:val="19"/>
        </w:numPr>
        <w:tabs>
          <w:tab w:val="left" w:pos="990"/>
        </w:tabs>
        <w:overflowPunct/>
        <w:autoSpaceDE/>
        <w:autoSpaceDN/>
        <w:adjustRightInd/>
        <w:ind w:left="2160"/>
        <w:textAlignment w:val="auto"/>
      </w:pPr>
      <w:r>
        <w:t>The management approach of the Teaming Arrangement in terms of who will conduct, direct, supervise and control the project and have custody and control of the assets of the Teaming Arrangement and perform the duties necessary to complete the work.</w:t>
      </w:r>
    </w:p>
    <w:p w14:paraId="67C4B776" w14:textId="39AEF986" w:rsidR="008724FC" w:rsidRDefault="008724FC" w:rsidP="00557FA5">
      <w:pPr>
        <w:pStyle w:val="ListParagraph"/>
        <w:numPr>
          <w:ilvl w:val="0"/>
          <w:numId w:val="19"/>
        </w:numPr>
        <w:tabs>
          <w:tab w:val="left" w:pos="990"/>
        </w:tabs>
        <w:overflowPunct/>
        <w:autoSpaceDE/>
        <w:autoSpaceDN/>
        <w:adjustRightInd/>
        <w:ind w:left="2160"/>
        <w:textAlignment w:val="auto"/>
      </w:pPr>
      <w:r>
        <w:t>The structure of the Teaming Arrangement and decision-making responsibilities of the parties in terms of who will control the manner and method of performance of the work.</w:t>
      </w:r>
    </w:p>
    <w:p w14:paraId="00BF07AE" w14:textId="77777777" w:rsidR="008724FC" w:rsidRDefault="008724FC" w:rsidP="00557FA5">
      <w:pPr>
        <w:pStyle w:val="ListParagraph"/>
        <w:numPr>
          <w:ilvl w:val="0"/>
          <w:numId w:val="19"/>
        </w:numPr>
        <w:tabs>
          <w:tab w:val="left" w:pos="990"/>
        </w:tabs>
        <w:overflowPunct/>
        <w:autoSpaceDE/>
        <w:autoSpaceDN/>
        <w:adjustRightInd/>
        <w:ind w:left="2160"/>
        <w:textAlignment w:val="auto"/>
      </w:pPr>
      <w:r>
        <w:t>The bonding responsibilities of the parties.</w:t>
      </w:r>
    </w:p>
    <w:p w14:paraId="3B966192" w14:textId="182EBC2A" w:rsidR="008724FC" w:rsidRDefault="008724FC" w:rsidP="00557FA5">
      <w:pPr>
        <w:pStyle w:val="ListParagraph"/>
        <w:numPr>
          <w:ilvl w:val="0"/>
          <w:numId w:val="19"/>
        </w:numPr>
        <w:tabs>
          <w:tab w:val="left" w:pos="990"/>
        </w:tabs>
        <w:overflowPunct/>
        <w:autoSpaceDE/>
        <w:autoSpaceDN/>
        <w:adjustRightInd/>
        <w:ind w:left="2160"/>
        <w:textAlignment w:val="auto"/>
      </w:pPr>
      <w:r>
        <w:t>Identification of the key personnel having authority to legally bind and negotiate subcontracts and state who will provide or contract for the labor and materials for the Teaming Arrangement.</w:t>
      </w:r>
    </w:p>
    <w:p w14:paraId="132A0332" w14:textId="05E48D17" w:rsidR="008724FC" w:rsidRDefault="008724FC" w:rsidP="00557FA5">
      <w:pPr>
        <w:pStyle w:val="ListParagraph"/>
        <w:numPr>
          <w:ilvl w:val="0"/>
          <w:numId w:val="19"/>
        </w:numPr>
        <w:tabs>
          <w:tab w:val="left" w:pos="990"/>
        </w:tabs>
        <w:overflowPunct/>
        <w:autoSpaceDE/>
        <w:autoSpaceDN/>
        <w:adjustRightInd/>
        <w:ind w:left="2160"/>
        <w:textAlignment w:val="auto"/>
      </w:pPr>
      <w:r>
        <w:t xml:space="preserve">Identification of party maintaining the Teaming Arrangement bank accounts for the payment of all expenses and the deposits of all receipts, keep the books and records, and pay applicable taxes for the parties. </w:t>
      </w:r>
    </w:p>
    <w:p w14:paraId="0A0ABE41" w14:textId="077BDB49" w:rsidR="00331182" w:rsidRPr="009E6037" w:rsidRDefault="00331182" w:rsidP="00BD52A7">
      <w:pPr>
        <w:tabs>
          <w:tab w:val="left" w:pos="1440"/>
        </w:tabs>
        <w:overflowPunct/>
        <w:autoSpaceDE/>
        <w:autoSpaceDN/>
        <w:adjustRightInd/>
        <w:jc w:val="left"/>
        <w:textAlignment w:val="auto"/>
      </w:pPr>
    </w:p>
    <w:sectPr w:rsidR="00331182" w:rsidRPr="009E6037" w:rsidSect="00847F81">
      <w:headerReference w:type="default" r:id="rId9"/>
      <w:headerReference w:type="first" r:id="rId10"/>
      <w:footerReference w:type="first" r:id="rId11"/>
      <w:type w:val="continuous"/>
      <w:pgSz w:w="12240" w:h="15840" w:code="1"/>
      <w:pgMar w:top="1440" w:right="1080" w:bottom="1080" w:left="144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713D" w14:textId="77777777" w:rsidR="00D0670D" w:rsidRDefault="00D0670D">
      <w:r>
        <w:separator/>
      </w:r>
    </w:p>
  </w:endnote>
  <w:endnote w:type="continuationSeparator" w:id="0">
    <w:p w14:paraId="049599D7" w14:textId="77777777" w:rsidR="00D0670D" w:rsidRDefault="00D0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32D4" w14:textId="77777777" w:rsidR="00900ED2" w:rsidRDefault="00900ED2">
    <w:pPr>
      <w:pStyle w:val="Footer"/>
      <w:ind w:left="-720" w:right="-72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2B06" w14:textId="77777777" w:rsidR="00D0670D" w:rsidRDefault="00D0670D">
      <w:r>
        <w:separator/>
      </w:r>
    </w:p>
  </w:footnote>
  <w:footnote w:type="continuationSeparator" w:id="0">
    <w:p w14:paraId="0FFE9E60" w14:textId="77777777" w:rsidR="00D0670D" w:rsidRDefault="00D06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40F3" w14:textId="77777777" w:rsidR="00B85235" w:rsidRPr="00B85235" w:rsidRDefault="00B85235">
    <w:pPr>
      <w:pStyle w:val="Header"/>
      <w:rPr>
        <w:szCs w:val="24"/>
      </w:rPr>
    </w:pPr>
    <w:r w:rsidRPr="00B85235">
      <w:rPr>
        <w:szCs w:val="24"/>
      </w:rPr>
      <w:t xml:space="preserve">Page </w:t>
    </w:r>
    <w:r w:rsidRPr="00B85235">
      <w:rPr>
        <w:szCs w:val="24"/>
      </w:rPr>
      <w:fldChar w:fldCharType="begin"/>
    </w:r>
    <w:r w:rsidRPr="00B85235">
      <w:rPr>
        <w:szCs w:val="24"/>
      </w:rPr>
      <w:instrText xml:space="preserve"> PAGE  \* Arabic  \* MERGEFORMAT </w:instrText>
    </w:r>
    <w:r w:rsidRPr="00B85235">
      <w:rPr>
        <w:szCs w:val="24"/>
      </w:rPr>
      <w:fldChar w:fldCharType="separate"/>
    </w:r>
    <w:r w:rsidR="002A3DB5">
      <w:rPr>
        <w:noProof/>
        <w:szCs w:val="24"/>
      </w:rPr>
      <w:t>3</w:t>
    </w:r>
    <w:r w:rsidRPr="00B85235">
      <w:rPr>
        <w:szCs w:val="24"/>
      </w:rPr>
      <w:fldChar w:fldCharType="end"/>
    </w:r>
    <w:r w:rsidRPr="00B85235">
      <w:rPr>
        <w:szCs w:val="24"/>
      </w:rPr>
      <w:t xml:space="preserve"> of </w:t>
    </w:r>
    <w:r w:rsidRPr="00B85235">
      <w:rPr>
        <w:szCs w:val="24"/>
      </w:rPr>
      <w:fldChar w:fldCharType="begin"/>
    </w:r>
    <w:r w:rsidRPr="00B85235">
      <w:rPr>
        <w:szCs w:val="24"/>
      </w:rPr>
      <w:instrText xml:space="preserve"> NUMPAGES  \* Arabic  \* MERGEFORMAT </w:instrText>
    </w:r>
    <w:r w:rsidRPr="00B85235">
      <w:rPr>
        <w:szCs w:val="24"/>
      </w:rPr>
      <w:fldChar w:fldCharType="separate"/>
    </w:r>
    <w:r w:rsidR="002A3DB5">
      <w:rPr>
        <w:noProof/>
        <w:szCs w:val="24"/>
      </w:rPr>
      <w:t>3</w:t>
    </w:r>
    <w:r w:rsidRPr="00B85235">
      <w:rPr>
        <w:szCs w:val="24"/>
      </w:rPr>
      <w:fldChar w:fldCharType="end"/>
    </w:r>
  </w:p>
  <w:p w14:paraId="26EF89D0" w14:textId="77777777" w:rsidR="007F3969" w:rsidRDefault="007F39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440"/>
      <w:gridCol w:w="1440"/>
      <w:gridCol w:w="6840"/>
    </w:tblGrid>
    <w:tr w:rsidR="00900ED2" w14:paraId="2A513AC9" w14:textId="77777777">
      <w:trPr>
        <w:cantSplit/>
      </w:trPr>
      <w:tc>
        <w:tcPr>
          <w:tcW w:w="1440" w:type="dxa"/>
          <w:tcBorders>
            <w:top w:val="nil"/>
            <w:left w:val="nil"/>
            <w:bottom w:val="nil"/>
            <w:right w:val="nil"/>
          </w:tcBorders>
        </w:tcPr>
        <w:p w14:paraId="21B6DE1F" w14:textId="77777777" w:rsidR="00900ED2" w:rsidRDefault="007842A6">
          <w:pPr>
            <w:pStyle w:val="Tabletext"/>
            <w:jc w:val="center"/>
            <w:rPr>
              <w:b/>
            </w:rPr>
          </w:pPr>
          <w:r>
            <w:rPr>
              <w:noProof/>
              <w:sz w:val="20"/>
            </w:rPr>
            <w:drawing>
              <wp:inline distT="0" distB="0" distL="0" distR="0" wp14:anchorId="25BD2D69" wp14:editId="6583CA6B">
                <wp:extent cx="71437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1440" w:type="dxa"/>
          <w:tcBorders>
            <w:top w:val="nil"/>
            <w:left w:val="nil"/>
            <w:bottom w:val="nil"/>
            <w:right w:val="nil"/>
          </w:tcBorders>
        </w:tcPr>
        <w:p w14:paraId="7F740F98" w14:textId="77777777" w:rsidR="00900ED2" w:rsidRDefault="00900ED2">
          <w:pPr>
            <w:pStyle w:val="Tabletext"/>
            <w:jc w:val="center"/>
            <w:rPr>
              <w:b/>
            </w:rPr>
          </w:pPr>
        </w:p>
      </w:tc>
      <w:tc>
        <w:tcPr>
          <w:tcW w:w="6840" w:type="dxa"/>
          <w:tcBorders>
            <w:top w:val="nil"/>
            <w:left w:val="nil"/>
            <w:bottom w:val="nil"/>
            <w:right w:val="nil"/>
          </w:tcBorders>
        </w:tcPr>
        <w:p w14:paraId="22872D3C" w14:textId="77777777" w:rsidR="00900ED2" w:rsidRDefault="00900ED2">
          <w:pPr>
            <w:pStyle w:val="Header"/>
            <w:tabs>
              <w:tab w:val="left" w:pos="2520"/>
            </w:tabs>
            <w:spacing w:line="360" w:lineRule="atLeast"/>
            <w:ind w:right="-900"/>
            <w:rPr>
              <w:i/>
              <w:sz w:val="34"/>
            </w:rPr>
          </w:pPr>
          <w:smartTag w:uri="urn:schemas-microsoft-com:office:smarttags" w:element="City">
            <w:r>
              <w:rPr>
                <w:b/>
                <w:sz w:val="34"/>
              </w:rPr>
              <w:t>Lawrence</w:t>
            </w:r>
          </w:smartTag>
          <w:r>
            <w:rPr>
              <w:b/>
              <w:sz w:val="34"/>
            </w:rPr>
            <w:t xml:space="preserve"> </w:t>
          </w:r>
          <w:smartTag w:uri="urn:schemas-microsoft-com:office:smarttags" w:element="City">
            <w:smartTag w:uri="urn:schemas-microsoft-com:office:smarttags" w:element="place">
              <w:r>
                <w:rPr>
                  <w:b/>
                  <w:sz w:val="34"/>
                </w:rPr>
                <w:t>Livermore</w:t>
              </w:r>
            </w:smartTag>
          </w:smartTag>
          <w:r>
            <w:rPr>
              <w:b/>
              <w:sz w:val="34"/>
            </w:rPr>
            <w:t xml:space="preserve"> National Laboratory</w:t>
          </w:r>
        </w:p>
        <w:p w14:paraId="6DDC7848" w14:textId="77777777" w:rsidR="00900ED2" w:rsidRDefault="00900ED2">
          <w:pPr>
            <w:pStyle w:val="Tabletext"/>
            <w:rPr>
              <w:rFonts w:ascii="Times New Roman" w:hAnsi="Times New Roman"/>
              <w:i/>
            </w:rPr>
          </w:pPr>
          <w:r>
            <w:rPr>
              <w:rFonts w:ascii="Times New Roman" w:hAnsi="Times New Roman"/>
              <w:i/>
            </w:rPr>
            <w:t>Supply Chain Management Department</w:t>
          </w:r>
        </w:p>
        <w:p w14:paraId="3DFF4E34" w14:textId="77777777" w:rsidR="00786248" w:rsidRPr="005D2BA1" w:rsidRDefault="00786248" w:rsidP="00786248">
          <w:pPr>
            <w:jc w:val="center"/>
            <w:rPr>
              <w:b/>
              <w:color w:val="000000"/>
            </w:rPr>
          </w:pPr>
          <w:r>
            <w:rPr>
              <w:b/>
              <w:color w:val="000000"/>
            </w:rPr>
            <w:t xml:space="preserve">CHAMP </w:t>
          </w:r>
          <w:r w:rsidRPr="005D2BA1">
            <w:rPr>
              <w:b/>
              <w:color w:val="000000"/>
            </w:rPr>
            <w:t xml:space="preserve">PREQUALIFICATION </w:t>
          </w:r>
          <w:r>
            <w:rPr>
              <w:b/>
              <w:color w:val="000000"/>
            </w:rPr>
            <w:t>REQUIREMENTS</w:t>
          </w:r>
        </w:p>
        <w:p w14:paraId="36DF29BE" w14:textId="3A7677BE" w:rsidR="00786248" w:rsidRDefault="00786248">
          <w:pPr>
            <w:pStyle w:val="Tabletext"/>
            <w:rPr>
              <w:rFonts w:ascii="Times New Roman" w:hAnsi="Times New Roman"/>
            </w:rPr>
          </w:pPr>
        </w:p>
      </w:tc>
    </w:tr>
  </w:tbl>
  <w:p w14:paraId="094905EB" w14:textId="77777777" w:rsidR="00900ED2" w:rsidRDefault="00900ED2">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237F"/>
    <w:multiLevelType w:val="hybridMultilevel"/>
    <w:tmpl w:val="FBA828FE"/>
    <w:lvl w:ilvl="0" w:tplc="04090019">
      <w:start w:val="1"/>
      <w:numFmt w:val="lowerLetter"/>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0DE417B0"/>
    <w:multiLevelType w:val="hybridMultilevel"/>
    <w:tmpl w:val="F5AA30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286DB5"/>
    <w:multiLevelType w:val="hybridMultilevel"/>
    <w:tmpl w:val="35E02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76EB6"/>
    <w:multiLevelType w:val="hybridMultilevel"/>
    <w:tmpl w:val="E4D2FAD0"/>
    <w:lvl w:ilvl="0" w:tplc="AD98367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BD73D01"/>
    <w:multiLevelType w:val="hybridMultilevel"/>
    <w:tmpl w:val="95B0E4C0"/>
    <w:lvl w:ilvl="0" w:tplc="5C3E4F16">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2A5CA0"/>
    <w:multiLevelType w:val="hybridMultilevel"/>
    <w:tmpl w:val="4492DF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630E8C"/>
    <w:multiLevelType w:val="hybridMultilevel"/>
    <w:tmpl w:val="DA466E92"/>
    <w:lvl w:ilvl="0" w:tplc="8EE8FE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5825D55"/>
    <w:multiLevelType w:val="hybridMultilevel"/>
    <w:tmpl w:val="E7647E9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4AF31D1A"/>
    <w:multiLevelType w:val="hybridMultilevel"/>
    <w:tmpl w:val="401CDBC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172041"/>
    <w:multiLevelType w:val="hybridMultilevel"/>
    <w:tmpl w:val="5B460C6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6D731A5"/>
    <w:multiLevelType w:val="multilevel"/>
    <w:tmpl w:val="35E024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214CA6"/>
    <w:multiLevelType w:val="hybridMultilevel"/>
    <w:tmpl w:val="56FA16A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69374113"/>
    <w:multiLevelType w:val="hybridMultilevel"/>
    <w:tmpl w:val="C67861AC"/>
    <w:lvl w:ilvl="0" w:tplc="4D342ECC">
      <w:start w:val="7"/>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EAA2FE4"/>
    <w:multiLevelType w:val="hybridMultilevel"/>
    <w:tmpl w:val="DA466E92"/>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708E56BA"/>
    <w:multiLevelType w:val="hybridMultilevel"/>
    <w:tmpl w:val="E750750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70F11387"/>
    <w:multiLevelType w:val="multilevel"/>
    <w:tmpl w:val="F43892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96171E"/>
    <w:multiLevelType w:val="hybridMultilevel"/>
    <w:tmpl w:val="BDDAC6DA"/>
    <w:lvl w:ilvl="0" w:tplc="5A5AC96C">
      <w:start w:val="7"/>
      <w:numFmt w:val="decimal"/>
      <w:lvlText w:val="%1)"/>
      <w:lvlJc w:val="left"/>
      <w:pPr>
        <w:tabs>
          <w:tab w:val="num" w:pos="1080"/>
        </w:tabs>
        <w:ind w:left="1080" w:hanging="360"/>
      </w:pPr>
      <w:rPr>
        <w:rFonts w:hint="default"/>
        <w:u w:val="singl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7170DB6"/>
    <w:multiLevelType w:val="hybridMultilevel"/>
    <w:tmpl w:val="AF1EA6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78651F49"/>
    <w:multiLevelType w:val="hybridMultilevel"/>
    <w:tmpl w:val="F4389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8403415">
    <w:abstractNumId w:val="17"/>
  </w:num>
  <w:num w:numId="2" w16cid:durableId="1995137217">
    <w:abstractNumId w:val="2"/>
  </w:num>
  <w:num w:numId="3" w16cid:durableId="1816754179">
    <w:abstractNumId w:val="1"/>
  </w:num>
  <w:num w:numId="4" w16cid:durableId="2142963457">
    <w:abstractNumId w:val="12"/>
  </w:num>
  <w:num w:numId="5" w16cid:durableId="425345025">
    <w:abstractNumId w:val="18"/>
  </w:num>
  <w:num w:numId="6" w16cid:durableId="1276328545">
    <w:abstractNumId w:val="15"/>
  </w:num>
  <w:num w:numId="7" w16cid:durableId="1375346244">
    <w:abstractNumId w:val="8"/>
  </w:num>
  <w:num w:numId="8" w16cid:durableId="1160000882">
    <w:abstractNumId w:val="10"/>
  </w:num>
  <w:num w:numId="9" w16cid:durableId="1894656240">
    <w:abstractNumId w:val="5"/>
  </w:num>
  <w:num w:numId="10" w16cid:durableId="287787085">
    <w:abstractNumId w:val="16"/>
  </w:num>
  <w:num w:numId="11" w16cid:durableId="1447190411">
    <w:abstractNumId w:val="4"/>
  </w:num>
  <w:num w:numId="12" w16cid:durableId="425885106">
    <w:abstractNumId w:val="9"/>
  </w:num>
  <w:num w:numId="13" w16cid:durableId="395015200">
    <w:abstractNumId w:val="14"/>
  </w:num>
  <w:num w:numId="14" w16cid:durableId="1524782804">
    <w:abstractNumId w:val="3"/>
  </w:num>
  <w:num w:numId="15" w16cid:durableId="941307128">
    <w:abstractNumId w:val="7"/>
  </w:num>
  <w:num w:numId="16" w16cid:durableId="905649114">
    <w:abstractNumId w:val="11"/>
  </w:num>
  <w:num w:numId="17" w16cid:durableId="1826510415">
    <w:abstractNumId w:val="6"/>
  </w:num>
  <w:num w:numId="18" w16cid:durableId="1643342204">
    <w:abstractNumId w:val="13"/>
  </w:num>
  <w:num w:numId="19" w16cid:durableId="89327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DC"/>
    <w:rsid w:val="000059C4"/>
    <w:rsid w:val="00012C56"/>
    <w:rsid w:val="00015A25"/>
    <w:rsid w:val="00020904"/>
    <w:rsid w:val="00023BA3"/>
    <w:rsid w:val="00036F22"/>
    <w:rsid w:val="00052124"/>
    <w:rsid w:val="000668BE"/>
    <w:rsid w:val="00080AEA"/>
    <w:rsid w:val="0008508E"/>
    <w:rsid w:val="0009350B"/>
    <w:rsid w:val="000A2DF7"/>
    <w:rsid w:val="000A63ED"/>
    <w:rsid w:val="000B1F2F"/>
    <w:rsid w:val="000B504E"/>
    <w:rsid w:val="000B5C64"/>
    <w:rsid w:val="000D2E4E"/>
    <w:rsid w:val="000F1795"/>
    <w:rsid w:val="001011CB"/>
    <w:rsid w:val="00103A58"/>
    <w:rsid w:val="0011247F"/>
    <w:rsid w:val="00114400"/>
    <w:rsid w:val="00117841"/>
    <w:rsid w:val="001564B7"/>
    <w:rsid w:val="001805E4"/>
    <w:rsid w:val="00196250"/>
    <w:rsid w:val="001A2DC5"/>
    <w:rsid w:val="001A6107"/>
    <w:rsid w:val="001B3295"/>
    <w:rsid w:val="001C734E"/>
    <w:rsid w:val="001F01E1"/>
    <w:rsid w:val="001F0D7B"/>
    <w:rsid w:val="00206132"/>
    <w:rsid w:val="002074C6"/>
    <w:rsid w:val="00214F4D"/>
    <w:rsid w:val="00246A34"/>
    <w:rsid w:val="00250B41"/>
    <w:rsid w:val="002531C7"/>
    <w:rsid w:val="00273759"/>
    <w:rsid w:val="00276AAA"/>
    <w:rsid w:val="002A3DB5"/>
    <w:rsid w:val="002C5927"/>
    <w:rsid w:val="002E1DE6"/>
    <w:rsid w:val="00310FE5"/>
    <w:rsid w:val="003216D1"/>
    <w:rsid w:val="00331182"/>
    <w:rsid w:val="003451EC"/>
    <w:rsid w:val="003528E2"/>
    <w:rsid w:val="00363081"/>
    <w:rsid w:val="00371BDE"/>
    <w:rsid w:val="0038357A"/>
    <w:rsid w:val="003A4446"/>
    <w:rsid w:val="003A50B9"/>
    <w:rsid w:val="003C502B"/>
    <w:rsid w:val="003C53E3"/>
    <w:rsid w:val="003C558F"/>
    <w:rsid w:val="003C7983"/>
    <w:rsid w:val="003D1CF0"/>
    <w:rsid w:val="003D6C01"/>
    <w:rsid w:val="003E1F19"/>
    <w:rsid w:val="003E364C"/>
    <w:rsid w:val="003E4A84"/>
    <w:rsid w:val="004134D2"/>
    <w:rsid w:val="00421F2A"/>
    <w:rsid w:val="00435CF1"/>
    <w:rsid w:val="004360F6"/>
    <w:rsid w:val="00443153"/>
    <w:rsid w:val="00457F5C"/>
    <w:rsid w:val="0046327D"/>
    <w:rsid w:val="00474C57"/>
    <w:rsid w:val="00474FE9"/>
    <w:rsid w:val="004A4C95"/>
    <w:rsid w:val="004C0AF8"/>
    <w:rsid w:val="004D35D7"/>
    <w:rsid w:val="004E7138"/>
    <w:rsid w:val="004F1CC9"/>
    <w:rsid w:val="004F3D6B"/>
    <w:rsid w:val="005046EA"/>
    <w:rsid w:val="00533445"/>
    <w:rsid w:val="005412FD"/>
    <w:rsid w:val="00547D7A"/>
    <w:rsid w:val="0055096C"/>
    <w:rsid w:val="00557736"/>
    <w:rsid w:val="00557FA5"/>
    <w:rsid w:val="00560737"/>
    <w:rsid w:val="005704E2"/>
    <w:rsid w:val="00580DB9"/>
    <w:rsid w:val="005C54CC"/>
    <w:rsid w:val="005D2144"/>
    <w:rsid w:val="005D2BA1"/>
    <w:rsid w:val="005E6B5D"/>
    <w:rsid w:val="0060476B"/>
    <w:rsid w:val="006116D4"/>
    <w:rsid w:val="00623506"/>
    <w:rsid w:val="006334B1"/>
    <w:rsid w:val="00642209"/>
    <w:rsid w:val="006466E3"/>
    <w:rsid w:val="0065035A"/>
    <w:rsid w:val="00651700"/>
    <w:rsid w:val="00653FBE"/>
    <w:rsid w:val="00663EE8"/>
    <w:rsid w:val="006647AD"/>
    <w:rsid w:val="00670D14"/>
    <w:rsid w:val="00673C22"/>
    <w:rsid w:val="006765AE"/>
    <w:rsid w:val="00693EB5"/>
    <w:rsid w:val="006D1767"/>
    <w:rsid w:val="006D1B59"/>
    <w:rsid w:val="006D74C5"/>
    <w:rsid w:val="006E0E24"/>
    <w:rsid w:val="006E4D04"/>
    <w:rsid w:val="006F78D3"/>
    <w:rsid w:val="007217CC"/>
    <w:rsid w:val="00736ADE"/>
    <w:rsid w:val="00776C40"/>
    <w:rsid w:val="007842A6"/>
    <w:rsid w:val="00786248"/>
    <w:rsid w:val="007973E7"/>
    <w:rsid w:val="00797AC3"/>
    <w:rsid w:val="007A3201"/>
    <w:rsid w:val="007A79EF"/>
    <w:rsid w:val="007B2E49"/>
    <w:rsid w:val="007D00EF"/>
    <w:rsid w:val="007F38F6"/>
    <w:rsid w:val="007F3969"/>
    <w:rsid w:val="008313D6"/>
    <w:rsid w:val="00847F81"/>
    <w:rsid w:val="00871E09"/>
    <w:rsid w:val="008724FC"/>
    <w:rsid w:val="00877A1D"/>
    <w:rsid w:val="008825B7"/>
    <w:rsid w:val="008867BF"/>
    <w:rsid w:val="008A383D"/>
    <w:rsid w:val="008D3DF1"/>
    <w:rsid w:val="008E6A50"/>
    <w:rsid w:val="008F772C"/>
    <w:rsid w:val="00900ED2"/>
    <w:rsid w:val="0090273F"/>
    <w:rsid w:val="009200D7"/>
    <w:rsid w:val="0095308E"/>
    <w:rsid w:val="009633A5"/>
    <w:rsid w:val="00963E44"/>
    <w:rsid w:val="00966571"/>
    <w:rsid w:val="00976CF3"/>
    <w:rsid w:val="00985983"/>
    <w:rsid w:val="009B5DB3"/>
    <w:rsid w:val="009C4BD2"/>
    <w:rsid w:val="009C66CD"/>
    <w:rsid w:val="009D5058"/>
    <w:rsid w:val="009E6037"/>
    <w:rsid w:val="009E6556"/>
    <w:rsid w:val="009F77FC"/>
    <w:rsid w:val="00A11D35"/>
    <w:rsid w:val="00A22935"/>
    <w:rsid w:val="00A33E4B"/>
    <w:rsid w:val="00A437D3"/>
    <w:rsid w:val="00A52AF4"/>
    <w:rsid w:val="00A64333"/>
    <w:rsid w:val="00A645EE"/>
    <w:rsid w:val="00A820BA"/>
    <w:rsid w:val="00A87DF8"/>
    <w:rsid w:val="00AA1295"/>
    <w:rsid w:val="00AB4B8D"/>
    <w:rsid w:val="00AB7353"/>
    <w:rsid w:val="00AD500D"/>
    <w:rsid w:val="00AE1AC1"/>
    <w:rsid w:val="00AE5605"/>
    <w:rsid w:val="00AF47E9"/>
    <w:rsid w:val="00B05543"/>
    <w:rsid w:val="00B06A22"/>
    <w:rsid w:val="00B15B57"/>
    <w:rsid w:val="00B237EA"/>
    <w:rsid w:val="00B36028"/>
    <w:rsid w:val="00B42C61"/>
    <w:rsid w:val="00B44B2E"/>
    <w:rsid w:val="00B45727"/>
    <w:rsid w:val="00B52842"/>
    <w:rsid w:val="00B76688"/>
    <w:rsid w:val="00B85235"/>
    <w:rsid w:val="00B90EDC"/>
    <w:rsid w:val="00BB5564"/>
    <w:rsid w:val="00BD1985"/>
    <w:rsid w:val="00BD2F3F"/>
    <w:rsid w:val="00BD3029"/>
    <w:rsid w:val="00BD52A7"/>
    <w:rsid w:val="00C0161C"/>
    <w:rsid w:val="00C03D18"/>
    <w:rsid w:val="00C11181"/>
    <w:rsid w:val="00C243C5"/>
    <w:rsid w:val="00C4060D"/>
    <w:rsid w:val="00C4638B"/>
    <w:rsid w:val="00C4656F"/>
    <w:rsid w:val="00C53632"/>
    <w:rsid w:val="00C53CC2"/>
    <w:rsid w:val="00C9466E"/>
    <w:rsid w:val="00CB4E35"/>
    <w:rsid w:val="00CB50BC"/>
    <w:rsid w:val="00CB77B4"/>
    <w:rsid w:val="00CC2FAD"/>
    <w:rsid w:val="00CD478C"/>
    <w:rsid w:val="00D0670D"/>
    <w:rsid w:val="00D121BF"/>
    <w:rsid w:val="00D1283A"/>
    <w:rsid w:val="00D14641"/>
    <w:rsid w:val="00D25F30"/>
    <w:rsid w:val="00D34984"/>
    <w:rsid w:val="00D3667C"/>
    <w:rsid w:val="00D45C02"/>
    <w:rsid w:val="00D50FD7"/>
    <w:rsid w:val="00D52206"/>
    <w:rsid w:val="00D64C58"/>
    <w:rsid w:val="00D761EE"/>
    <w:rsid w:val="00D97E35"/>
    <w:rsid w:val="00DA6BB0"/>
    <w:rsid w:val="00DB0419"/>
    <w:rsid w:val="00DC00C4"/>
    <w:rsid w:val="00DC3AFD"/>
    <w:rsid w:val="00DC3E8E"/>
    <w:rsid w:val="00E047B3"/>
    <w:rsid w:val="00E10FC9"/>
    <w:rsid w:val="00E23CA2"/>
    <w:rsid w:val="00E369F0"/>
    <w:rsid w:val="00E476FE"/>
    <w:rsid w:val="00E7040A"/>
    <w:rsid w:val="00E73A9B"/>
    <w:rsid w:val="00E96434"/>
    <w:rsid w:val="00EA1860"/>
    <w:rsid w:val="00EA3879"/>
    <w:rsid w:val="00EA3E7E"/>
    <w:rsid w:val="00EA77F1"/>
    <w:rsid w:val="00EB2622"/>
    <w:rsid w:val="00ED52DA"/>
    <w:rsid w:val="00EE486A"/>
    <w:rsid w:val="00EE68B3"/>
    <w:rsid w:val="00F16312"/>
    <w:rsid w:val="00F36A90"/>
    <w:rsid w:val="00F37DCE"/>
    <w:rsid w:val="00F4345B"/>
    <w:rsid w:val="00F46D1C"/>
    <w:rsid w:val="00F53253"/>
    <w:rsid w:val="00FB0649"/>
    <w:rsid w:val="00FC220B"/>
    <w:rsid w:val="00FE0483"/>
    <w:rsid w:val="00FE35E3"/>
    <w:rsid w:val="00FE4ADF"/>
    <w:rsid w:val="00FE545E"/>
    <w:rsid w:val="00FF298E"/>
    <w:rsid w:val="00FF35E1"/>
    <w:rsid w:val="00FF52DA"/>
    <w:rsid w:val="00FF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A56216"/>
  <w15:docId w15:val="{F7AA825F-C722-4361-96AA-D16A9719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86A"/>
    <w:pPr>
      <w:overflowPunct w:val="0"/>
      <w:autoSpaceDE w:val="0"/>
      <w:autoSpaceDN w:val="0"/>
      <w:adjustRightInd w:val="0"/>
      <w:jc w:val="both"/>
      <w:textAlignment w:val="baseline"/>
    </w:pPr>
    <w:rPr>
      <w:sz w:val="24"/>
    </w:rPr>
  </w:style>
  <w:style w:type="paragraph" w:styleId="Heading1">
    <w:name w:val="heading 1"/>
    <w:basedOn w:val="Normal"/>
    <w:next w:val="Normal"/>
    <w:qFormat/>
    <w:rsid w:val="00EE486A"/>
    <w:pPr>
      <w:keepNext/>
      <w:widowControl w:val="0"/>
      <w:tabs>
        <w:tab w:val="left" w:pos="2520"/>
      </w:tabs>
      <w:spacing w:line="360" w:lineRule="atLeast"/>
      <w:ind w:right="-900"/>
      <w:outlineLvl w:val="0"/>
    </w:pPr>
    <w:rPr>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rsid w:val="00EE486A"/>
    <w:pPr>
      <w:tabs>
        <w:tab w:val="center" w:pos="4867"/>
        <w:tab w:val="right" w:pos="9720"/>
      </w:tabs>
    </w:pPr>
  </w:style>
  <w:style w:type="paragraph" w:styleId="Header">
    <w:name w:val="header"/>
    <w:basedOn w:val="Normal"/>
    <w:next w:val="Normal"/>
    <w:rsid w:val="00EE486A"/>
  </w:style>
  <w:style w:type="paragraph" w:customStyle="1" w:styleId="Subject">
    <w:name w:val="Subject"/>
    <w:basedOn w:val="Normal"/>
    <w:rsid w:val="00EE486A"/>
    <w:pPr>
      <w:tabs>
        <w:tab w:val="left" w:pos="1440"/>
      </w:tabs>
    </w:pPr>
  </w:style>
  <w:style w:type="paragraph" w:customStyle="1" w:styleId="DateSign">
    <w:name w:val="Date/Sign"/>
    <w:basedOn w:val="Normal"/>
    <w:rsid w:val="00EE486A"/>
    <w:pPr>
      <w:ind w:left="4867"/>
    </w:pPr>
  </w:style>
  <w:style w:type="paragraph" w:customStyle="1" w:styleId="Tabletext">
    <w:name w:val="Table text"/>
    <w:basedOn w:val="Normal"/>
    <w:rsid w:val="00EE486A"/>
    <w:pPr>
      <w:spacing w:before="40" w:after="40"/>
      <w:jc w:val="left"/>
    </w:pPr>
    <w:rPr>
      <w:rFonts w:ascii="Times" w:hAnsi="Times"/>
    </w:rPr>
  </w:style>
  <w:style w:type="character" w:styleId="Hyperlink">
    <w:name w:val="Hyperlink"/>
    <w:basedOn w:val="DefaultParagraphFont"/>
    <w:rsid w:val="005412FD"/>
    <w:rPr>
      <w:color w:val="0000FF"/>
      <w:u w:val="single"/>
    </w:rPr>
  </w:style>
  <w:style w:type="paragraph" w:styleId="BalloonText">
    <w:name w:val="Balloon Text"/>
    <w:basedOn w:val="Normal"/>
    <w:link w:val="BalloonTextChar"/>
    <w:rsid w:val="00776C40"/>
    <w:rPr>
      <w:rFonts w:ascii="Tahoma" w:hAnsi="Tahoma" w:cs="Tahoma"/>
      <w:sz w:val="16"/>
      <w:szCs w:val="16"/>
    </w:rPr>
  </w:style>
  <w:style w:type="character" w:customStyle="1" w:styleId="BalloonTextChar">
    <w:name w:val="Balloon Text Char"/>
    <w:basedOn w:val="DefaultParagraphFont"/>
    <w:link w:val="BalloonText"/>
    <w:rsid w:val="00776C40"/>
    <w:rPr>
      <w:rFonts w:ascii="Tahoma" w:hAnsi="Tahoma" w:cs="Tahoma"/>
      <w:sz w:val="16"/>
      <w:szCs w:val="16"/>
    </w:rPr>
  </w:style>
  <w:style w:type="character" w:styleId="CommentReference">
    <w:name w:val="annotation reference"/>
    <w:basedOn w:val="DefaultParagraphFont"/>
    <w:rsid w:val="006F78D3"/>
    <w:rPr>
      <w:sz w:val="16"/>
      <w:szCs w:val="16"/>
    </w:rPr>
  </w:style>
  <w:style w:type="paragraph" w:styleId="CommentText">
    <w:name w:val="annotation text"/>
    <w:basedOn w:val="Normal"/>
    <w:link w:val="CommentTextChar"/>
    <w:rsid w:val="006F78D3"/>
    <w:rPr>
      <w:sz w:val="20"/>
    </w:rPr>
  </w:style>
  <w:style w:type="character" w:customStyle="1" w:styleId="CommentTextChar">
    <w:name w:val="Comment Text Char"/>
    <w:basedOn w:val="DefaultParagraphFont"/>
    <w:link w:val="CommentText"/>
    <w:rsid w:val="006F78D3"/>
  </w:style>
  <w:style w:type="paragraph" w:styleId="CommentSubject">
    <w:name w:val="annotation subject"/>
    <w:basedOn w:val="CommentText"/>
    <w:next w:val="CommentText"/>
    <w:link w:val="CommentSubjectChar"/>
    <w:rsid w:val="006F78D3"/>
    <w:rPr>
      <w:b/>
      <w:bCs/>
    </w:rPr>
  </w:style>
  <w:style w:type="character" w:customStyle="1" w:styleId="CommentSubjectChar">
    <w:name w:val="Comment Subject Char"/>
    <w:basedOn w:val="CommentTextChar"/>
    <w:link w:val="CommentSubject"/>
    <w:rsid w:val="006F78D3"/>
    <w:rPr>
      <w:b/>
      <w:bCs/>
    </w:rPr>
  </w:style>
  <w:style w:type="character" w:styleId="FollowedHyperlink">
    <w:name w:val="FollowedHyperlink"/>
    <w:basedOn w:val="DefaultParagraphFont"/>
    <w:rsid w:val="00B85235"/>
    <w:rPr>
      <w:color w:val="800080" w:themeColor="followedHyperlink"/>
      <w:u w:val="single"/>
    </w:rPr>
  </w:style>
  <w:style w:type="paragraph" w:customStyle="1" w:styleId="indent">
    <w:name w:val="indent"/>
    <w:basedOn w:val="Normal"/>
    <w:rsid w:val="006E4D04"/>
    <w:pPr>
      <w:tabs>
        <w:tab w:val="left" w:pos="1080"/>
      </w:tabs>
      <w:overflowPunct/>
      <w:autoSpaceDE/>
      <w:autoSpaceDN/>
      <w:adjustRightInd/>
      <w:ind w:left="1440"/>
      <w:jc w:val="left"/>
      <w:textAlignment w:val="auto"/>
    </w:pPr>
    <w:rPr>
      <w:rFonts w:ascii="Times" w:hAnsi="Times"/>
    </w:rPr>
  </w:style>
  <w:style w:type="paragraph" w:customStyle="1" w:styleId="Number">
    <w:name w:val="Number"/>
    <w:basedOn w:val="Normal"/>
    <w:rsid w:val="006E4D04"/>
    <w:pPr>
      <w:overflowPunct/>
      <w:autoSpaceDE/>
      <w:autoSpaceDN/>
      <w:adjustRightInd/>
      <w:ind w:left="720" w:hanging="720"/>
      <w:jc w:val="left"/>
      <w:textAlignment w:val="auto"/>
    </w:pPr>
    <w:rPr>
      <w:rFonts w:ascii="Times" w:hAnsi="Times"/>
    </w:rPr>
  </w:style>
  <w:style w:type="paragraph" w:styleId="ListParagraph">
    <w:name w:val="List Paragraph"/>
    <w:basedOn w:val="Normal"/>
    <w:uiPriority w:val="34"/>
    <w:qFormat/>
    <w:rsid w:val="00CB50BC"/>
    <w:pPr>
      <w:ind w:left="720"/>
      <w:contextualSpacing/>
    </w:pPr>
  </w:style>
  <w:style w:type="character" w:styleId="UnresolvedMention">
    <w:name w:val="Unresolved Mention"/>
    <w:basedOn w:val="DefaultParagraphFont"/>
    <w:uiPriority w:val="99"/>
    <w:semiHidden/>
    <w:unhideWhenUsed/>
    <w:rsid w:val="00E73A9B"/>
    <w:rPr>
      <w:color w:val="605E5C"/>
      <w:shd w:val="clear" w:color="auto" w:fill="E1DFDD"/>
    </w:rPr>
  </w:style>
  <w:style w:type="paragraph" w:customStyle="1" w:styleId="Default">
    <w:name w:val="Default"/>
    <w:rsid w:val="003A50B9"/>
    <w:pPr>
      <w:autoSpaceDE w:val="0"/>
      <w:autoSpaceDN w:val="0"/>
      <w:adjustRightInd w:val="0"/>
    </w:pPr>
    <w:rPr>
      <w:color w:val="000000"/>
      <w:sz w:val="24"/>
      <w:szCs w:val="24"/>
    </w:rPr>
  </w:style>
  <w:style w:type="paragraph" w:styleId="NormalWeb">
    <w:name w:val="Normal (Web)"/>
    <w:basedOn w:val="Normal"/>
    <w:uiPriority w:val="99"/>
    <w:semiHidden/>
    <w:unhideWhenUsed/>
    <w:rsid w:val="001805E4"/>
    <w:pPr>
      <w:overflowPunct/>
      <w:autoSpaceDE/>
      <w:autoSpaceDN/>
      <w:adjustRightInd/>
      <w:spacing w:before="100" w:beforeAutospacing="1" w:after="100" w:afterAutospacing="1"/>
      <w:jc w:val="left"/>
      <w:textAlignment w:val="auto"/>
    </w:pPr>
    <w:rPr>
      <w:szCs w:val="24"/>
    </w:rPr>
  </w:style>
  <w:style w:type="paragraph" w:styleId="Revision">
    <w:name w:val="Revision"/>
    <w:hidden/>
    <w:uiPriority w:val="99"/>
    <w:semiHidden/>
    <w:rsid w:val="00117841"/>
    <w:rPr>
      <w:sz w:val="24"/>
    </w:rPr>
  </w:style>
  <w:style w:type="paragraph" w:customStyle="1" w:styleId="AHeading">
    <w:name w:val="A. Heading"/>
    <w:basedOn w:val="Normal"/>
    <w:rsid w:val="00C53632"/>
    <w:pPr>
      <w:keepNext/>
      <w:overflowPunct/>
      <w:autoSpaceDE/>
      <w:autoSpaceDN/>
      <w:adjustRightInd/>
      <w:ind w:left="720" w:hanging="720"/>
      <w:textAlignment w:val="auto"/>
    </w:pPr>
    <w:rPr>
      <w:b/>
    </w:rPr>
  </w:style>
  <w:style w:type="paragraph" w:customStyle="1" w:styleId="1">
    <w:name w:val="1."/>
    <w:basedOn w:val="Normal"/>
    <w:rsid w:val="00C53632"/>
    <w:pPr>
      <w:overflowPunct/>
      <w:autoSpaceDE/>
      <w:autoSpaceDN/>
      <w:adjustRightInd/>
      <w:ind w:left="1440" w:hanging="720"/>
      <w:textAlignment w:val="auto"/>
    </w:pPr>
  </w:style>
  <w:style w:type="paragraph" w:customStyle="1" w:styleId="1Heading">
    <w:name w:val="1. Heading"/>
    <w:basedOn w:val="Normal"/>
    <w:rsid w:val="00C53632"/>
    <w:pPr>
      <w:keepNext/>
      <w:overflowPunct/>
      <w:autoSpaceDE/>
      <w:autoSpaceDN/>
      <w:adjustRightInd/>
      <w:ind w:left="7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478">
      <w:bodyDiv w:val="1"/>
      <w:marLeft w:val="0"/>
      <w:marRight w:val="0"/>
      <w:marTop w:val="0"/>
      <w:marBottom w:val="0"/>
      <w:divBdr>
        <w:top w:val="none" w:sz="0" w:space="0" w:color="auto"/>
        <w:left w:val="none" w:sz="0" w:space="0" w:color="auto"/>
        <w:bottom w:val="none" w:sz="0" w:space="0" w:color="auto"/>
        <w:right w:val="none" w:sz="0" w:space="0" w:color="auto"/>
      </w:divBdr>
    </w:div>
    <w:div w:id="11559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iif/oshsum.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F260-D21C-46E5-9742-86A780B3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6677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vt:lpstr>
    </vt:vector>
  </TitlesOfParts>
  <Company>LLNL</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John O'Neill</dc:creator>
  <cp:lastModifiedBy>Pascal, Roosevelt M.</cp:lastModifiedBy>
  <cp:revision>2</cp:revision>
  <cp:lastPrinted>2015-03-19T17:13:00Z</cp:lastPrinted>
  <dcterms:created xsi:type="dcterms:W3CDTF">2022-08-03T15:57:00Z</dcterms:created>
  <dcterms:modified xsi:type="dcterms:W3CDTF">2022-08-03T15:57:00Z</dcterms:modified>
</cp:coreProperties>
</file>